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予以修订的</w:t>
      </w:r>
      <w:r>
        <w:rPr>
          <w:rFonts w:hint="eastAsia" w:ascii="方正小标宋_GBK" w:hAnsi="方正小标宋_GBK" w:eastAsia="方正小标宋_GBK" w:cs="方正小标宋_GBK"/>
          <w:color w:val="auto"/>
          <w:sz w:val="44"/>
          <w:szCs w:val="44"/>
        </w:rPr>
        <w:t>规范性文件目录</w:t>
      </w:r>
    </w:p>
    <w:tbl>
      <w:tblPr>
        <w:tblStyle w:val="7"/>
        <w:tblpPr w:leftFromText="180" w:rightFromText="180" w:vertAnchor="text" w:horzAnchor="page" w:tblpXSpec="center" w:tblpY="679"/>
        <w:tblOverlap w:val="never"/>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506"/>
        <w:gridCol w:w="3699"/>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2"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序号</w:t>
            </w:r>
          </w:p>
        </w:tc>
        <w:tc>
          <w:tcPr>
            <w:tcW w:w="2506"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文号</w:t>
            </w:r>
          </w:p>
        </w:tc>
        <w:tc>
          <w:tcPr>
            <w:tcW w:w="3699"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文件名称</w:t>
            </w:r>
          </w:p>
        </w:tc>
        <w:tc>
          <w:tcPr>
            <w:tcW w:w="2091"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备案号</w:t>
            </w:r>
          </w:p>
        </w:tc>
      </w:tr>
    </w:tbl>
    <w:p>
      <w:pPr>
        <w:jc w:val="center"/>
        <w:rPr>
          <w:rFonts w:hint="eastAsia" w:ascii="仿宋_GB2312" w:hAnsi="仿宋_GB2312" w:eastAsia="仿宋_GB2312" w:cs="仿宋_GB2312"/>
          <w:color w:val="auto"/>
          <w:sz w:val="32"/>
          <w:szCs w:val="32"/>
          <w:lang w:val="en-US" w:eastAsia="zh-CN"/>
        </w:rPr>
      </w:pPr>
    </w:p>
    <w:tbl>
      <w:tblPr>
        <w:tblStyle w:val="7"/>
        <w:tblpPr w:leftFromText="180" w:rightFromText="180" w:vertAnchor="text" w:horzAnchor="page" w:tblpX="1424" w:tblpY="679"/>
        <w:tblOverlap w:val="never"/>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506"/>
        <w:gridCol w:w="3699"/>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保府办〔2014〕22号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《保亭黎族苗族自治县国家公务员医疗补助实施办法》</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保府办〔2014〕25号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《关于印发进一步规范涉氨企业安全管理实施意见的通知》</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保府办〔2014〕64号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《保亭黎族苗族自治县信访事项复查复核暂行办法》</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保府办〔2014〕65号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《保亭黎族苗族自治县救助申请家庭经济状况核对工作实施办法》</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保府办〔2014〕66号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《保亭黎族苗族自治县违法建筑防控查处管理办法》</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保府办〔2014〕71号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《保亭黎族苗族自治县实施标准化战略工作方案》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保府办〔2014〕84号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《保亭黎族苗族自治县突发公共卫生事件应急预案》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保府办〔2014〕85号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《保亭黎族苗族自治县突发公共事件医疗救援应急预案》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保府办〔2014〕93号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《保亭黎族苗族自治县中小学布局调整闲置学校资产使用管理暂行规定》</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保府办〔2014〕96号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《保亭黎族苗族自治县疾病应急救助制度实施细则》</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保府办〔2014〕102号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《保亭黎族苗族自治县政府性债务管理试行办法》</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保府办〔2014〕184号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《保亭黎族苗族自治县外宾接待经费管理办法》</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保府办〔2014〕125号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《保亭黎族苗族自治县构建城乡一体化公共图书馆服务体系实施方案》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QSF-2014-170042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保府〔2015〕3号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《保亭黎族苗族自治县人民政府关于在特定区域禁止燃放孔明灯的通告》</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保府办〔2015〕26号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《保亭黎族苗族自治县人口和计划生育奖励和特别扶助规定》</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QSF-2015-170005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保府办〔2016〕52号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《保亭黎族苗族自治县防风防汛抗旱应急预案》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保府办〔2016〕69号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《保亭黎族苗族自治县防风防汛抗旱应急响应行动方案》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保府办〔2016〕74号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《保亭黎族苗族自治县品牌农业发展规划（2016—2020）》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保府办〔2016〕83号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《保亭黎族苗族自治县关于进一步加强计量工作的实施意见》</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QSF-2016-170016</w:t>
            </w:r>
          </w:p>
        </w:tc>
      </w:tr>
    </w:tbl>
    <w:p>
      <w:pPr>
        <w:jc w:val="center"/>
      </w:pPr>
      <w:bookmarkStart w:id="0" w:name="_GoBack"/>
      <w:bookmarkEnd w:id="0"/>
    </w:p>
    <w:sectPr>
      <w:pgSz w:w="11906" w:h="16838"/>
      <w:pgMar w:top="1962" w:right="1474" w:bottom="184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63E48"/>
    <w:rsid w:val="23476F42"/>
    <w:rsid w:val="29063E48"/>
    <w:rsid w:val="2DB21D35"/>
    <w:rsid w:val="5AF85941"/>
    <w:rsid w:val="771D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2023-05-24T03:40:00Z</dcterms:created>
  <dc:creator>Administrator</dc:creator>
  <cp:lastModifiedBy>Administrator</cp:lastModifiedBy>
  <dcterms:modified xsi:type="dcterms:W3CDTF">2023-05-24T03:43:22Z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