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黑体" w:cs="仿宋_GB2312"/>
          <w:bCs/>
          <w:color w:val="00000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</w:rPr>
        <w:t>附件</w:t>
      </w:r>
      <w:r>
        <w:rPr>
          <w:rFonts w:hint="eastAsia" w:ascii="黑体" w:hAnsi="黑体" w:eastAsia="黑体" w:cs="黑体"/>
          <w:bCs/>
          <w:color w:val="00000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color w:val="000000"/>
          <w:sz w:val="44"/>
          <w:szCs w:val="44"/>
          <w:lang w:eastAsia="zh-CN"/>
        </w:rPr>
        <w:t>矿山行业</w:t>
      </w:r>
      <w:r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  <w:t>重大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  <w:t>事故隐患专项排查整治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  <w:t>2023行动进展情况调度表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" w:beforeLines="10" w:after="31" w:afterLines="10" w:line="480" w:lineRule="exact"/>
        <w:textAlignment w:val="auto"/>
        <w:rPr>
          <w:rFonts w:ascii="宋体" w:hAnsi="宋体" w:eastAsia="楷体_GB2312" w:cs="楷体_GB2312"/>
          <w:bCs/>
          <w:color w:val="000000"/>
          <w:sz w:val="24"/>
        </w:rPr>
      </w:pPr>
      <w:r>
        <w:rPr>
          <w:rFonts w:hint="eastAsia" w:ascii="宋体" w:hAnsi="宋体" w:eastAsia="楷体_GB2312" w:cs="楷体_GB2312"/>
          <w:bCs/>
          <w:color w:val="000000"/>
          <w:sz w:val="24"/>
        </w:rPr>
        <w:t>___________市（县）</w:t>
      </w:r>
      <w:r>
        <w:rPr>
          <w:rFonts w:hint="eastAsia" w:ascii="宋体" w:hAnsi="宋体" w:eastAsia="楷体_GB2312" w:cs="楷体_GB2312"/>
          <w:bCs/>
          <w:color w:val="000000"/>
          <w:sz w:val="24"/>
          <w:lang w:eastAsia="zh-CN"/>
        </w:rPr>
        <w:t>应急局</w:t>
      </w:r>
      <w:r>
        <w:rPr>
          <w:rFonts w:hint="eastAsia" w:ascii="宋体" w:hAnsi="宋体" w:eastAsia="楷体_GB2312" w:cs="楷体_GB2312"/>
          <w:bCs/>
          <w:color w:val="000000"/>
          <w:sz w:val="24"/>
        </w:rPr>
        <w:t xml:space="preserve">                       时间：2023年   月   日</w:t>
      </w:r>
    </w:p>
    <w:tbl>
      <w:tblPr>
        <w:tblStyle w:val="6"/>
        <w:tblW w:w="547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32"/>
        <w:gridCol w:w="3134"/>
        <w:gridCol w:w="859"/>
        <w:gridCol w:w="464"/>
        <w:gridCol w:w="3211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42" w:type="pct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26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矿山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企业总数（家）</w:t>
            </w:r>
          </w:p>
        </w:tc>
        <w:tc>
          <w:tcPr>
            <w:tcW w:w="42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培训企业主要负责人（人）</w:t>
            </w:r>
          </w:p>
        </w:tc>
        <w:tc>
          <w:tcPr>
            <w:tcW w:w="4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企业自查发现的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重大事故隐患（个）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企业自查发现重大事故隐患中已完成整改的（个）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部门检查发现的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重大事故隐患（个）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部门检查发现重大事故隐患中已完成整改的（个）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政府挂牌督办的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重大事故隐患（个）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挂牌督办重大事故隐患中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已完成整改的（个）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42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对</w:t>
            </w: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自查自改</w:t>
            </w:r>
            <w:r>
              <w:rPr>
                <w:rFonts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进行抽查检查</w:t>
            </w: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26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539" w:type="pc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部门抽查检查的企业总数（家）</w:t>
            </w:r>
          </w:p>
        </w:tc>
        <w:tc>
          <w:tcPr>
            <w:tcW w:w="42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577" w:type="pc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主要负责人未按要求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亲自研究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排查整治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4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企业主要负责人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未带队检查（家）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企业未制定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分管负责人职责清单（家）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企业未依法建立安全管理机构和配足安全管理人员（家）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电焊等特种作业岗位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人员无证上岗作业（家）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外包外租安全管理混乱（家）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未按规定开展应急演练、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员工不熟悉逃生出口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（家）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42" w:type="pct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精准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严格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26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539" w:type="pc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帮扶指导重点地区（个次）</w:t>
            </w:r>
          </w:p>
        </w:tc>
        <w:tc>
          <w:tcPr>
            <w:tcW w:w="42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577" w:type="pc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帮扶指导重点企业（家次）</w:t>
            </w:r>
          </w:p>
        </w:tc>
        <w:tc>
          <w:tcPr>
            <w:tcW w:w="4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行政处罚（次，万元）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企业和企业主要负责人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“一案双罚”（次）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移送司法机关（人）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责令停产整顿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曝光、约谈、联合惩戒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企业（家）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公布典型执法案例（个），其中危险作业罪案例（个）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2" w:type="pct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责任倒查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追责问责（人）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约谈通报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有关地区及部门（次）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20" w:leftChars="0" w:hanging="720" w:hanging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注：1.调度表自6月份开始上报，每月3日前上报截至上月末的累计情况。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78" w:leftChars="87" w:firstLine="240" w:firstLineChars="100"/>
        <w:contextualSpacing/>
        <w:textAlignment w:val="auto"/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.调度表内容应围绕专项排查整治工作并对照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"/>
        </w:rPr>
        <w:t>符合以下情形之一的：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承包承租方不具备安全生产条件、未取得相应资质，双方未签订安全生产协议，安全生产管理职责不清，未纳入本企业统一管理。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WRjOWE1Yzk5MTQxNzcxMGYxYzg3NzYwMGJiYTEifQ=="/>
  </w:docVars>
  <w:rsids>
    <w:rsidRoot w:val="00000000"/>
    <w:rsid w:val="08C12A93"/>
    <w:rsid w:val="105834D9"/>
    <w:rsid w:val="11741B8D"/>
    <w:rsid w:val="319E149B"/>
    <w:rsid w:val="561C5EDA"/>
    <w:rsid w:val="67B43DC6"/>
    <w:rsid w:val="6E6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spacing w:before="0" w:beforeLines="0" w:afterLines="0" w:line="240" w:lineRule="auto"/>
    </w:pPr>
    <w:rPr>
      <w:rFonts w:ascii="Times New Roman" w:hAnsi="Times New Roman" w:eastAsia="宋体" w:cs="Times New Roman"/>
      <w:color w:val="auto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2022-09-21T06:44:00Z</dcterms:created>
  <dc:creator>Administrator</dc:creator>
  <cp:lastModifiedBy>。Polaris</cp:lastModifiedBy>
  <dcterms:modified xsi:type="dcterms:W3CDTF">2023-05-16T03:31:09Z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5539101D38FC4A159D520F25E27E2ADB</vt:lpwstr>
  </property>
</Properties>
</file>