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4A3F2">
      <w:pPr>
        <w:pStyle w:val="10"/>
        <w:spacing w:line="520" w:lineRule="exact"/>
        <w:ind w:left="295" w:right="238" w:firstLine="560"/>
        <w:rPr>
          <w:color w:val="000000" w:themeColor="text1"/>
          <w14:textFill>
            <w14:solidFill>
              <w14:schemeClr w14:val="tx1"/>
            </w14:solidFill>
          </w14:textFill>
        </w:rPr>
      </w:pPr>
    </w:p>
    <w:p w14:paraId="03D2187B">
      <w:pPr>
        <w:pStyle w:val="10"/>
        <w:spacing w:before="2" w:line="520" w:lineRule="exact"/>
        <w:ind w:left="295" w:right="238" w:firstLine="620"/>
        <w:rPr>
          <w:color w:val="000000" w:themeColor="text1"/>
          <w:sz w:val="31"/>
          <w14:textFill>
            <w14:solidFill>
              <w14:schemeClr w14:val="tx1"/>
            </w14:solidFill>
          </w14:textFill>
        </w:rPr>
      </w:pPr>
    </w:p>
    <w:p w14:paraId="11BB520C">
      <w:pPr>
        <w:pStyle w:val="10"/>
        <w:spacing w:line="520" w:lineRule="exact"/>
        <w:ind w:left="0" w:leftChars="0" w:right="238" w:firstLine="0" w:firstLineChars="0"/>
        <w:jc w:val="center"/>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保亭黎族苗族自治县</w:t>
      </w:r>
    </w:p>
    <w:p w14:paraId="16F03605">
      <w:pPr>
        <w:pStyle w:val="10"/>
        <w:spacing w:line="520" w:lineRule="exact"/>
        <w:ind w:left="0" w:leftChars="0" w:right="238" w:firstLine="0" w:firstLineChars="0"/>
        <w:jc w:val="center"/>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危险化学品生产安全事故应急预案</w:t>
      </w:r>
    </w:p>
    <w:p w14:paraId="06FFA98C">
      <w:pPr>
        <w:pStyle w:val="23"/>
        <w:autoSpaceDN/>
        <w:spacing w:line="520" w:lineRule="exact"/>
        <w:rPr>
          <w:rFonts w:ascii="方正小标宋_GBK" w:hAnsi="方正小标宋_GBK" w:cs="方正小标宋_GBK"/>
          <w:spacing w:val="0"/>
          <w:szCs w:val="44"/>
          <w:lang w:val="zh-CN" w:bidi="zh-CN"/>
        </w:rPr>
      </w:pPr>
      <w:r>
        <w:rPr>
          <w:rFonts w:hint="eastAsia" w:ascii="方正小标宋_GBK" w:hAnsi="方正小标宋_GBK" w:cs="方正小标宋_GBK"/>
          <w:spacing w:val="0"/>
          <w:szCs w:val="44"/>
          <w:lang w:val="zh-CN" w:bidi="zh-CN"/>
        </w:rPr>
        <w:t>(征求意见稿)</w:t>
      </w:r>
    </w:p>
    <w:p w14:paraId="4245B363">
      <w:pPr>
        <w:pStyle w:val="10"/>
        <w:spacing w:line="520" w:lineRule="exact"/>
        <w:ind w:left="0" w:leftChars="0" w:right="238" w:firstLine="0" w:firstLineChars="0"/>
        <w:jc w:val="center"/>
        <w:rPr>
          <w:rFonts w:ascii="方正小标宋_GBK" w:hAnsi="方正小标宋_GBK" w:eastAsia="方正小标宋_GBK" w:cs="方正小标宋_GBK"/>
          <w:kern w:val="2"/>
          <w:sz w:val="44"/>
          <w:szCs w:val="44"/>
        </w:rPr>
      </w:pPr>
    </w:p>
    <w:p w14:paraId="18551770">
      <w:pPr>
        <w:spacing w:line="520" w:lineRule="exact"/>
      </w:pPr>
    </w:p>
    <w:p w14:paraId="1370F151">
      <w:pPr>
        <w:spacing w:line="520" w:lineRule="exact"/>
      </w:pPr>
    </w:p>
    <w:p w14:paraId="6EE66ACB">
      <w:pPr>
        <w:pStyle w:val="10"/>
        <w:spacing w:line="520" w:lineRule="exact"/>
        <w:ind w:left="0" w:leftChars="0" w:right="1134" w:rightChars="0" w:firstLine="0" w:firstLineChars="0"/>
        <w:jc w:val="both"/>
        <w:rPr>
          <w:rFonts w:asciiTheme="majorEastAsia" w:hAnsiTheme="majorEastAsia" w:eastAsiaTheme="majorEastAsia" w:cstheme="majorEastAsia"/>
          <w:bCs/>
          <w:spacing w:val="-8"/>
          <w:sz w:val="32"/>
          <w:szCs w:val="32"/>
        </w:rPr>
      </w:pPr>
    </w:p>
    <w:p w14:paraId="479B0FD5">
      <w:pPr>
        <w:pStyle w:val="10"/>
        <w:spacing w:line="520" w:lineRule="exact"/>
        <w:ind w:left="0" w:leftChars="0" w:right="1134" w:rightChars="0" w:firstLine="0" w:firstLineChars="0"/>
        <w:jc w:val="both"/>
        <w:rPr>
          <w:rFonts w:asciiTheme="majorEastAsia" w:hAnsiTheme="majorEastAsia" w:eastAsiaTheme="majorEastAsia" w:cstheme="majorEastAsia"/>
          <w:bCs/>
          <w:spacing w:val="-8"/>
          <w:sz w:val="32"/>
          <w:szCs w:val="32"/>
        </w:rPr>
      </w:pPr>
    </w:p>
    <w:p w14:paraId="01B9616B">
      <w:pPr>
        <w:pStyle w:val="10"/>
        <w:spacing w:line="520" w:lineRule="exact"/>
        <w:ind w:left="0" w:leftChars="0" w:right="1134" w:rightChars="0" w:firstLine="0" w:firstLineChars="0"/>
        <w:jc w:val="both"/>
        <w:rPr>
          <w:rFonts w:asciiTheme="majorEastAsia" w:hAnsiTheme="majorEastAsia" w:eastAsiaTheme="majorEastAsia" w:cstheme="majorEastAsia"/>
          <w:bCs/>
          <w:spacing w:val="-8"/>
          <w:sz w:val="32"/>
          <w:szCs w:val="32"/>
        </w:rPr>
      </w:pPr>
    </w:p>
    <w:p w14:paraId="4F321648">
      <w:pPr>
        <w:pStyle w:val="10"/>
        <w:spacing w:line="520" w:lineRule="exact"/>
        <w:ind w:left="0" w:leftChars="0" w:right="1134" w:rightChars="0" w:firstLine="0" w:firstLineChars="0"/>
        <w:jc w:val="both"/>
        <w:rPr>
          <w:rFonts w:asciiTheme="majorEastAsia" w:hAnsiTheme="majorEastAsia" w:eastAsiaTheme="majorEastAsia" w:cstheme="majorEastAsia"/>
          <w:bCs/>
          <w:spacing w:val="-8"/>
          <w:sz w:val="32"/>
          <w:szCs w:val="32"/>
        </w:rPr>
      </w:pPr>
    </w:p>
    <w:p w14:paraId="7FF57A5A">
      <w:pPr>
        <w:pStyle w:val="10"/>
        <w:spacing w:line="520" w:lineRule="exact"/>
        <w:ind w:left="0" w:leftChars="0" w:right="1134" w:rightChars="0" w:firstLine="0" w:firstLineChars="0"/>
        <w:jc w:val="both"/>
        <w:rPr>
          <w:rFonts w:asciiTheme="majorEastAsia" w:hAnsiTheme="majorEastAsia" w:eastAsiaTheme="majorEastAsia" w:cstheme="majorEastAsia"/>
          <w:bCs/>
          <w:spacing w:val="-8"/>
          <w:sz w:val="32"/>
          <w:szCs w:val="32"/>
        </w:rPr>
      </w:pPr>
    </w:p>
    <w:p w14:paraId="0C301F90">
      <w:pPr>
        <w:pStyle w:val="10"/>
        <w:spacing w:line="520" w:lineRule="exact"/>
        <w:ind w:left="0" w:leftChars="0" w:right="1134" w:rightChars="0" w:firstLine="0" w:firstLineChars="0"/>
        <w:jc w:val="both"/>
        <w:rPr>
          <w:rFonts w:asciiTheme="majorEastAsia" w:hAnsiTheme="majorEastAsia" w:eastAsiaTheme="majorEastAsia" w:cstheme="majorEastAsia"/>
          <w:bCs/>
          <w:spacing w:val="-8"/>
          <w:sz w:val="32"/>
          <w:szCs w:val="32"/>
        </w:rPr>
      </w:pPr>
    </w:p>
    <w:p w14:paraId="2D378BD7">
      <w:pPr>
        <w:pStyle w:val="10"/>
        <w:spacing w:line="520" w:lineRule="exact"/>
        <w:ind w:left="0" w:leftChars="0" w:right="1134" w:rightChars="0" w:firstLine="0" w:firstLineChars="0"/>
        <w:jc w:val="both"/>
        <w:rPr>
          <w:rFonts w:asciiTheme="majorEastAsia" w:hAnsiTheme="majorEastAsia" w:eastAsiaTheme="majorEastAsia" w:cstheme="majorEastAsia"/>
          <w:bCs/>
          <w:spacing w:val="-8"/>
          <w:sz w:val="32"/>
          <w:szCs w:val="32"/>
        </w:rPr>
      </w:pPr>
    </w:p>
    <w:p w14:paraId="6E8FAAC6">
      <w:pPr>
        <w:pStyle w:val="10"/>
        <w:spacing w:line="520" w:lineRule="exact"/>
        <w:ind w:left="0" w:leftChars="0" w:right="1134" w:rightChars="0" w:firstLine="0" w:firstLineChars="0"/>
        <w:jc w:val="both"/>
        <w:rPr>
          <w:rFonts w:asciiTheme="majorEastAsia" w:hAnsiTheme="majorEastAsia" w:eastAsiaTheme="majorEastAsia" w:cstheme="majorEastAsia"/>
          <w:bCs/>
          <w:spacing w:val="-8"/>
          <w:sz w:val="32"/>
          <w:szCs w:val="32"/>
        </w:rPr>
      </w:pPr>
    </w:p>
    <w:p w14:paraId="2E219656">
      <w:pPr>
        <w:pStyle w:val="10"/>
        <w:spacing w:line="520" w:lineRule="exact"/>
        <w:ind w:left="0" w:leftChars="0" w:right="0" w:rightChars="0" w:firstLine="0" w:firstLineChars="0"/>
        <w:jc w:val="center"/>
        <w:rPr>
          <w:rFonts w:ascii="仿宋_GB2312" w:eastAsia="仿宋_GB2312" w:hAnsiTheme="majorEastAsia" w:cstheme="majorEastAsia"/>
          <w:bCs/>
          <w:spacing w:val="-8"/>
          <w:sz w:val="32"/>
          <w:szCs w:val="32"/>
        </w:rPr>
      </w:pPr>
      <w:r>
        <w:rPr>
          <w:rFonts w:hint="eastAsia" w:ascii="仿宋_GB2312" w:eastAsia="仿宋_GB2312" w:hAnsiTheme="majorEastAsia" w:cstheme="majorEastAsia"/>
          <w:bCs/>
          <w:spacing w:val="-8"/>
          <w:sz w:val="32"/>
          <w:szCs w:val="32"/>
        </w:rPr>
        <w:t>20</w:t>
      </w:r>
      <w:r>
        <w:rPr>
          <w:rFonts w:hint="eastAsia" w:ascii="仿宋_GB2312" w:eastAsia="仿宋_GB2312" w:hAnsiTheme="majorEastAsia" w:cstheme="majorEastAsia"/>
          <w:bCs/>
          <w:spacing w:val="-8"/>
          <w:sz w:val="32"/>
          <w:szCs w:val="32"/>
          <w:lang w:val="en-US"/>
        </w:rPr>
        <w:t>25</w:t>
      </w:r>
      <w:r>
        <w:rPr>
          <w:rFonts w:hint="eastAsia" w:ascii="仿宋_GB2312" w:eastAsia="仿宋_GB2312" w:hAnsiTheme="majorEastAsia" w:cstheme="majorEastAsia"/>
          <w:bCs/>
          <w:spacing w:val="-8"/>
          <w:sz w:val="32"/>
          <w:szCs w:val="32"/>
        </w:rPr>
        <w:t>年</w:t>
      </w:r>
      <w:r>
        <w:rPr>
          <w:rFonts w:hint="eastAsia" w:ascii="仿宋_GB2312" w:eastAsia="仿宋_GB2312" w:hAnsiTheme="majorEastAsia" w:cstheme="majorEastAsia"/>
          <w:bCs/>
          <w:spacing w:val="-8"/>
          <w:sz w:val="32"/>
          <w:szCs w:val="32"/>
          <w:lang w:val="en-US"/>
        </w:rPr>
        <w:t>4</w:t>
      </w:r>
      <w:r>
        <w:rPr>
          <w:rFonts w:hint="eastAsia" w:ascii="仿宋_GB2312" w:eastAsia="仿宋_GB2312" w:hAnsiTheme="majorEastAsia" w:cstheme="majorEastAsia"/>
          <w:bCs/>
          <w:spacing w:val="-8"/>
          <w:sz w:val="32"/>
          <w:szCs w:val="32"/>
        </w:rPr>
        <w:t>月</w:t>
      </w:r>
      <w:bookmarkStart w:id="0" w:name="1.1编制目的"/>
      <w:bookmarkEnd w:id="0"/>
      <w:bookmarkStart w:id="1" w:name="1.2编制依据"/>
      <w:bookmarkEnd w:id="1"/>
      <w:bookmarkStart w:id="2" w:name="_bookmark1"/>
      <w:bookmarkEnd w:id="2"/>
    </w:p>
    <w:p w14:paraId="59913982">
      <w:pPr>
        <w:pStyle w:val="10"/>
        <w:spacing w:line="520" w:lineRule="exact"/>
        <w:ind w:left="0" w:leftChars="0" w:right="1134" w:rightChars="0" w:firstLine="0" w:firstLineChars="0"/>
        <w:rPr>
          <w:rFonts w:asciiTheme="majorEastAsia" w:hAnsiTheme="majorEastAsia" w:eastAsiaTheme="majorEastAsia" w:cstheme="majorEastAsia"/>
          <w:bCs/>
          <w:spacing w:val="-8"/>
          <w:sz w:val="32"/>
          <w:szCs w:val="32"/>
          <w:lang w:val="en-US"/>
        </w:rPr>
      </w:pPr>
    </w:p>
    <w:p w14:paraId="0763D220">
      <w:pPr>
        <w:pStyle w:val="10"/>
        <w:spacing w:line="520" w:lineRule="exact"/>
        <w:ind w:left="0" w:leftChars="0" w:right="1134" w:rightChars="0" w:firstLine="0" w:firstLineChars="0"/>
        <w:rPr>
          <w:rFonts w:asciiTheme="majorEastAsia" w:hAnsiTheme="majorEastAsia" w:eastAsiaTheme="majorEastAsia" w:cstheme="majorEastAsia"/>
          <w:bCs/>
          <w:spacing w:val="-8"/>
          <w:sz w:val="32"/>
          <w:szCs w:val="32"/>
          <w:lang w:val="en-US"/>
        </w:rPr>
      </w:pPr>
    </w:p>
    <w:p w14:paraId="535EC1A8">
      <w:pPr>
        <w:pStyle w:val="17"/>
        <w:tabs>
          <w:tab w:val="right" w:leader="dot" w:pos="9302"/>
        </w:tabs>
        <w:spacing w:line="520" w:lineRule="exact"/>
        <w:jc w:val="center"/>
        <w:rPr>
          <w:rFonts w:ascii="方正小标宋_GBK" w:hAnsi="方正小标宋_GBK" w:eastAsia="方正小标宋_GBK" w:cs="方正小标宋_GBK"/>
          <w:b w:val="0"/>
          <w:bCs w:val="0"/>
          <w:kern w:val="2"/>
          <w:sz w:val="44"/>
          <w:szCs w:val="44"/>
        </w:rPr>
      </w:pPr>
      <w:bookmarkStart w:id="3" w:name="_Toc13669"/>
      <w:r>
        <w:rPr>
          <w:rFonts w:hint="eastAsia" w:ascii="方正小标宋_GBK" w:hAnsi="方正小标宋_GBK" w:eastAsia="方正小标宋_GBK" w:cs="方正小标宋_GBK"/>
          <w:b w:val="0"/>
          <w:bCs w:val="0"/>
          <w:kern w:val="2"/>
          <w:sz w:val="44"/>
          <w:szCs w:val="44"/>
        </w:rPr>
        <w:t xml:space="preserve">目 </w:t>
      </w:r>
      <w:r>
        <w:rPr>
          <w:rFonts w:ascii="方正小标宋_GBK" w:hAnsi="方正小标宋_GBK" w:eastAsia="方正小标宋_GBK" w:cs="方正小标宋_GBK"/>
          <w:b w:val="0"/>
          <w:bCs w:val="0"/>
          <w:kern w:val="2"/>
          <w:sz w:val="44"/>
          <w:szCs w:val="44"/>
        </w:rPr>
        <w:t xml:space="preserve"> </w:t>
      </w:r>
      <w:r>
        <w:rPr>
          <w:rFonts w:hint="eastAsia" w:ascii="方正小标宋_GBK" w:hAnsi="方正小标宋_GBK" w:eastAsia="方正小标宋_GBK" w:cs="方正小标宋_GBK"/>
          <w:b w:val="0"/>
          <w:bCs w:val="0"/>
          <w:kern w:val="2"/>
          <w:sz w:val="44"/>
          <w:szCs w:val="44"/>
        </w:rPr>
        <w:t>录</w:t>
      </w:r>
    </w:p>
    <w:p w14:paraId="6AD1870B">
      <w:pPr>
        <w:pStyle w:val="17"/>
        <w:tabs>
          <w:tab w:val="right" w:leader="dot" w:pos="8838"/>
        </w:tabs>
        <w:spacing w:line="460" w:lineRule="exact"/>
        <w:rPr>
          <w:rFonts w:ascii="仿宋" w:hAnsi="仿宋" w:eastAsia="仿宋" w:cstheme="minorBidi"/>
          <w:b w:val="0"/>
          <w:bCs w:val="0"/>
          <w:caps w:val="0"/>
          <w:kern w:val="2"/>
          <w:sz w:val="30"/>
          <w:szCs w:val="30"/>
          <w:lang w:val="en-US" w:bidi="ar-SA"/>
        </w:rPr>
      </w:pPr>
      <w:r>
        <w:rPr>
          <w:rFonts w:ascii="仿宋" w:hAnsi="仿宋" w:eastAsia="仿宋" w:cs="黑体"/>
          <w:b w:val="0"/>
          <w:bCs w:val="0"/>
          <w:color w:val="000000" w:themeColor="text1"/>
          <w:sz w:val="30"/>
          <w:szCs w:val="30"/>
          <w14:textFill>
            <w14:solidFill>
              <w14:schemeClr w14:val="tx1"/>
            </w14:solidFill>
          </w14:textFill>
        </w:rPr>
        <w:fldChar w:fldCharType="begin"/>
      </w:r>
      <w:r>
        <w:rPr>
          <w:rFonts w:ascii="仿宋" w:hAnsi="仿宋" w:eastAsia="仿宋" w:cs="黑体"/>
          <w:b w:val="0"/>
          <w:bCs w:val="0"/>
          <w:color w:val="000000" w:themeColor="text1"/>
          <w:sz w:val="30"/>
          <w:szCs w:val="30"/>
          <w14:textFill>
            <w14:solidFill>
              <w14:schemeClr w14:val="tx1"/>
            </w14:solidFill>
          </w14:textFill>
        </w:rPr>
        <w:instrText xml:space="preserve"> </w:instrText>
      </w:r>
      <w:r>
        <w:rPr>
          <w:rFonts w:hint="eastAsia" w:ascii="仿宋" w:hAnsi="仿宋" w:eastAsia="仿宋" w:cs="黑体"/>
          <w:b w:val="0"/>
          <w:bCs w:val="0"/>
          <w:color w:val="000000" w:themeColor="text1"/>
          <w:sz w:val="30"/>
          <w:szCs w:val="30"/>
          <w14:textFill>
            <w14:solidFill>
              <w14:schemeClr w14:val="tx1"/>
            </w14:solidFill>
          </w14:textFill>
        </w:rPr>
        <w:instrText xml:space="preserve">TOC \o "1-2" \h \z \u</w:instrText>
      </w:r>
      <w:r>
        <w:rPr>
          <w:rFonts w:ascii="仿宋" w:hAnsi="仿宋" w:eastAsia="仿宋" w:cs="黑体"/>
          <w:b w:val="0"/>
          <w:bCs w:val="0"/>
          <w:color w:val="000000" w:themeColor="text1"/>
          <w:sz w:val="30"/>
          <w:szCs w:val="30"/>
          <w14:textFill>
            <w14:solidFill>
              <w14:schemeClr w14:val="tx1"/>
            </w14:solidFill>
          </w14:textFill>
        </w:rPr>
        <w:instrText xml:space="preserve"> </w:instrText>
      </w:r>
      <w:r>
        <w:rPr>
          <w:rFonts w:ascii="仿宋" w:hAnsi="仿宋" w:eastAsia="仿宋" w:cs="黑体"/>
          <w:b w:val="0"/>
          <w:bCs w:val="0"/>
          <w:color w:val="000000" w:themeColor="text1"/>
          <w:sz w:val="30"/>
          <w:szCs w:val="30"/>
          <w14:textFill>
            <w14:solidFill>
              <w14:schemeClr w14:val="tx1"/>
            </w14:solidFill>
          </w14:textFill>
        </w:rPr>
        <w:fldChar w:fldCharType="separate"/>
      </w:r>
      <w:r>
        <w:fldChar w:fldCharType="begin"/>
      </w:r>
      <w:r>
        <w:instrText xml:space="preserve"> HYPERLINK \l "_Toc195289322" </w:instrText>
      </w:r>
      <w:r>
        <w:fldChar w:fldCharType="separate"/>
      </w:r>
      <w:r>
        <w:rPr>
          <w:rStyle w:val="29"/>
          <w:rFonts w:ascii="仿宋" w:hAnsi="仿宋" w:eastAsia="仿宋"/>
          <w:b w:val="0"/>
          <w:sz w:val="32"/>
          <w:szCs w:val="30"/>
        </w:rPr>
        <w:t xml:space="preserve">1 </w:t>
      </w:r>
      <w:r>
        <w:rPr>
          <w:rStyle w:val="29"/>
          <w:rFonts w:hint="eastAsia" w:ascii="仿宋" w:hAnsi="仿宋" w:eastAsia="仿宋"/>
          <w:b w:val="0"/>
          <w:sz w:val="32"/>
          <w:szCs w:val="30"/>
        </w:rPr>
        <w:t>总</w:t>
      </w:r>
      <w:r>
        <w:rPr>
          <w:rStyle w:val="29"/>
          <w:rFonts w:ascii="仿宋" w:hAnsi="仿宋" w:eastAsia="仿宋"/>
          <w:b w:val="0"/>
          <w:sz w:val="32"/>
          <w:szCs w:val="30"/>
          <w:lang w:val="en-US"/>
        </w:rPr>
        <w:t xml:space="preserve"> </w:t>
      </w:r>
      <w:r>
        <w:rPr>
          <w:rStyle w:val="29"/>
          <w:rFonts w:hint="eastAsia" w:ascii="仿宋" w:hAnsi="仿宋" w:eastAsia="仿宋"/>
          <w:b w:val="0"/>
          <w:sz w:val="32"/>
          <w:szCs w:val="30"/>
        </w:rPr>
        <w:t>则</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_Toc195289322 \h </w:instrText>
      </w:r>
      <w:r>
        <w:rPr>
          <w:rFonts w:ascii="仿宋" w:hAnsi="仿宋" w:eastAsia="仿宋"/>
          <w:b w:val="0"/>
          <w:sz w:val="30"/>
          <w:szCs w:val="30"/>
        </w:rPr>
        <w:fldChar w:fldCharType="separate"/>
      </w:r>
      <w:r>
        <w:rPr>
          <w:rFonts w:ascii="仿宋" w:hAnsi="仿宋" w:eastAsia="仿宋"/>
          <w:b w:val="0"/>
          <w:sz w:val="30"/>
          <w:szCs w:val="30"/>
        </w:rPr>
        <w:t>4</w:t>
      </w:r>
      <w:r>
        <w:rPr>
          <w:rFonts w:ascii="仿宋" w:hAnsi="仿宋" w:eastAsia="仿宋"/>
          <w:b w:val="0"/>
          <w:sz w:val="30"/>
          <w:szCs w:val="30"/>
        </w:rPr>
        <w:fldChar w:fldCharType="end"/>
      </w:r>
      <w:r>
        <w:rPr>
          <w:rFonts w:ascii="仿宋" w:hAnsi="仿宋" w:eastAsia="仿宋"/>
          <w:b w:val="0"/>
          <w:sz w:val="30"/>
          <w:szCs w:val="30"/>
        </w:rPr>
        <w:fldChar w:fldCharType="end"/>
      </w:r>
    </w:p>
    <w:p w14:paraId="033695DB">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"_Toc195289323" </w:instrText>
      </w:r>
      <w:r>
        <w:fldChar w:fldCharType="separate"/>
      </w:r>
      <w:r>
        <w:rPr>
          <w:rStyle w:val="29"/>
          <w:rFonts w:ascii="仿宋" w:hAnsi="仿宋" w:eastAsia="仿宋" w:cs="楷体"/>
          <w:sz w:val="30"/>
          <w:szCs w:val="30"/>
          <w:lang w:val="en-US"/>
        </w:rPr>
        <w:t xml:space="preserve">1.1 </w:t>
      </w:r>
      <w:r>
        <w:rPr>
          <w:rStyle w:val="29"/>
          <w:rFonts w:hint="eastAsia" w:ascii="仿宋" w:hAnsi="仿宋" w:eastAsia="仿宋" w:cs="楷体"/>
          <w:sz w:val="30"/>
          <w:szCs w:val="30"/>
        </w:rPr>
        <w:t>编制目的</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_Toc195289323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r>
        <w:rPr>
          <w:rFonts w:ascii="仿宋" w:hAnsi="仿宋" w:eastAsia="仿宋"/>
          <w:sz w:val="30"/>
          <w:szCs w:val="30"/>
        </w:rPr>
        <w:fldChar w:fldCharType="end"/>
      </w:r>
    </w:p>
    <w:p w14:paraId="601F928D">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"_Toc195289324" </w:instrText>
      </w:r>
      <w:r>
        <w:fldChar w:fldCharType="separate"/>
      </w:r>
      <w:r>
        <w:rPr>
          <w:rStyle w:val="29"/>
          <w:rFonts w:ascii="仿宋" w:hAnsi="仿宋" w:eastAsia="仿宋" w:cs="楷体"/>
          <w:sz w:val="30"/>
          <w:szCs w:val="30"/>
          <w:lang w:val="en-US"/>
        </w:rPr>
        <w:t xml:space="preserve">1.2 </w:t>
      </w:r>
      <w:r>
        <w:rPr>
          <w:rStyle w:val="29"/>
          <w:rFonts w:hint="eastAsia" w:ascii="仿宋" w:hAnsi="仿宋" w:eastAsia="仿宋" w:cs="楷体"/>
          <w:sz w:val="30"/>
          <w:szCs w:val="30"/>
          <w:lang w:val="en-US"/>
        </w:rPr>
        <w:t>编制依据</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_Toc195289324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r>
        <w:rPr>
          <w:rFonts w:ascii="仿宋" w:hAnsi="仿宋" w:eastAsia="仿宋"/>
          <w:sz w:val="30"/>
          <w:szCs w:val="30"/>
        </w:rPr>
        <w:fldChar w:fldCharType="end"/>
      </w:r>
    </w:p>
    <w:p w14:paraId="36461A92">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"_Toc195289325" </w:instrText>
      </w:r>
      <w:r>
        <w:fldChar w:fldCharType="separate"/>
      </w:r>
      <w:r>
        <w:rPr>
          <w:rStyle w:val="29"/>
          <w:rFonts w:ascii="仿宋" w:hAnsi="仿宋" w:eastAsia="仿宋" w:cs="楷体"/>
          <w:sz w:val="30"/>
          <w:szCs w:val="30"/>
          <w:lang w:val="en-US"/>
        </w:rPr>
        <w:t xml:space="preserve">1.3 </w:t>
      </w:r>
      <w:r>
        <w:rPr>
          <w:rStyle w:val="29"/>
          <w:rFonts w:hint="eastAsia" w:ascii="仿宋" w:hAnsi="仿宋" w:eastAsia="仿宋" w:cs="楷体"/>
          <w:sz w:val="30"/>
          <w:szCs w:val="30"/>
          <w:lang w:val="en-US"/>
        </w:rPr>
        <w:t>适用范围</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_Toc195289325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r>
        <w:rPr>
          <w:rFonts w:ascii="仿宋" w:hAnsi="仿宋" w:eastAsia="仿宋"/>
          <w:sz w:val="30"/>
          <w:szCs w:val="30"/>
        </w:rPr>
        <w:fldChar w:fldCharType="end"/>
      </w:r>
    </w:p>
    <w:p w14:paraId="3A761A5F">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"_Toc195289326" </w:instrText>
      </w:r>
      <w:r>
        <w:fldChar w:fldCharType="separate"/>
      </w:r>
      <w:r>
        <w:rPr>
          <w:rStyle w:val="29"/>
          <w:rFonts w:ascii="仿宋" w:hAnsi="仿宋" w:eastAsia="仿宋" w:cs="楷体"/>
          <w:sz w:val="30"/>
          <w:szCs w:val="30"/>
          <w:lang w:val="en-US"/>
        </w:rPr>
        <w:t xml:space="preserve">1.4 </w:t>
      </w:r>
      <w:r>
        <w:rPr>
          <w:rStyle w:val="29"/>
          <w:rFonts w:hint="eastAsia" w:ascii="仿宋" w:hAnsi="仿宋" w:eastAsia="仿宋" w:cs="楷体"/>
          <w:sz w:val="30"/>
          <w:szCs w:val="30"/>
          <w:lang w:val="en-US"/>
        </w:rPr>
        <w:t>工作原则</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_Toc195289326 \h </w:instrText>
      </w:r>
      <w:r>
        <w:rPr>
          <w:rFonts w:ascii="仿宋" w:hAnsi="仿宋" w:eastAsia="仿宋"/>
          <w:sz w:val="30"/>
          <w:szCs w:val="30"/>
        </w:rPr>
        <w:fldChar w:fldCharType="separate"/>
      </w:r>
      <w:r>
        <w:rPr>
          <w:rFonts w:ascii="仿宋" w:hAnsi="仿宋" w:eastAsia="仿宋"/>
          <w:sz w:val="30"/>
          <w:szCs w:val="30"/>
        </w:rPr>
        <w:t>5</w:t>
      </w:r>
      <w:r>
        <w:rPr>
          <w:rFonts w:ascii="仿宋" w:hAnsi="仿宋" w:eastAsia="仿宋"/>
          <w:sz w:val="30"/>
          <w:szCs w:val="30"/>
        </w:rPr>
        <w:fldChar w:fldCharType="end"/>
      </w:r>
      <w:r>
        <w:rPr>
          <w:rFonts w:ascii="仿宋" w:hAnsi="仿宋" w:eastAsia="仿宋"/>
          <w:sz w:val="30"/>
          <w:szCs w:val="30"/>
        </w:rPr>
        <w:fldChar w:fldCharType="end"/>
      </w:r>
    </w:p>
    <w:p w14:paraId="5FDE855A">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"_Toc195289327" </w:instrText>
      </w:r>
      <w:r>
        <w:fldChar w:fldCharType="separate"/>
      </w:r>
      <w:r>
        <w:rPr>
          <w:rStyle w:val="29"/>
          <w:rFonts w:ascii="仿宋" w:hAnsi="仿宋" w:eastAsia="仿宋" w:cs="楷体"/>
          <w:sz w:val="30"/>
          <w:szCs w:val="30"/>
          <w:lang w:val="en-US"/>
        </w:rPr>
        <w:t xml:space="preserve">1.5 </w:t>
      </w:r>
      <w:r>
        <w:rPr>
          <w:rStyle w:val="29"/>
          <w:rFonts w:hint="eastAsia" w:ascii="仿宋" w:hAnsi="仿宋" w:eastAsia="仿宋" w:cs="楷体"/>
          <w:sz w:val="30"/>
          <w:szCs w:val="30"/>
          <w:lang w:val="en-US"/>
        </w:rPr>
        <w:t>事故分级</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_Toc195289327 \h </w:instrText>
      </w:r>
      <w:r>
        <w:rPr>
          <w:rFonts w:ascii="仿宋" w:hAnsi="仿宋" w:eastAsia="仿宋"/>
          <w:sz w:val="30"/>
          <w:szCs w:val="30"/>
        </w:rPr>
        <w:fldChar w:fldCharType="separate"/>
      </w:r>
      <w:r>
        <w:rPr>
          <w:rFonts w:ascii="仿宋" w:hAnsi="仿宋" w:eastAsia="仿宋"/>
          <w:sz w:val="30"/>
          <w:szCs w:val="30"/>
        </w:rPr>
        <w:t>6</w:t>
      </w:r>
      <w:r>
        <w:rPr>
          <w:rFonts w:ascii="仿宋" w:hAnsi="仿宋" w:eastAsia="仿宋"/>
          <w:sz w:val="30"/>
          <w:szCs w:val="30"/>
        </w:rPr>
        <w:fldChar w:fldCharType="end"/>
      </w:r>
      <w:r>
        <w:rPr>
          <w:rFonts w:ascii="仿宋" w:hAnsi="仿宋" w:eastAsia="仿宋"/>
          <w:sz w:val="30"/>
          <w:szCs w:val="30"/>
        </w:rPr>
        <w:fldChar w:fldCharType="end"/>
      </w:r>
    </w:p>
    <w:p w14:paraId="76AEBB8A">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"_Toc195289328" </w:instrText>
      </w:r>
      <w:r>
        <w:fldChar w:fldCharType="separate"/>
      </w:r>
      <w:r>
        <w:rPr>
          <w:rStyle w:val="29"/>
          <w:rFonts w:ascii="仿宋" w:hAnsi="仿宋" w:eastAsia="仿宋" w:cs="楷体"/>
          <w:sz w:val="30"/>
          <w:szCs w:val="30"/>
          <w:lang w:val="en-US"/>
        </w:rPr>
        <w:t xml:space="preserve">1.6 </w:t>
      </w:r>
      <w:r>
        <w:rPr>
          <w:rStyle w:val="29"/>
          <w:rFonts w:hint="eastAsia" w:ascii="仿宋" w:hAnsi="仿宋" w:eastAsia="仿宋" w:cs="楷体"/>
          <w:sz w:val="30"/>
          <w:szCs w:val="30"/>
          <w:lang w:val="en-US"/>
        </w:rPr>
        <w:t>应急预案体系</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_Toc195289328 \h </w:instrText>
      </w:r>
      <w:r>
        <w:rPr>
          <w:rFonts w:ascii="仿宋" w:hAnsi="仿宋" w:eastAsia="仿宋"/>
          <w:sz w:val="30"/>
          <w:szCs w:val="30"/>
        </w:rPr>
        <w:fldChar w:fldCharType="separate"/>
      </w:r>
      <w:r>
        <w:rPr>
          <w:rFonts w:ascii="仿宋" w:hAnsi="仿宋" w:eastAsia="仿宋"/>
          <w:sz w:val="30"/>
          <w:szCs w:val="30"/>
        </w:rPr>
        <w:t>7</w:t>
      </w:r>
      <w:r>
        <w:rPr>
          <w:rFonts w:ascii="仿宋" w:hAnsi="仿宋" w:eastAsia="仿宋"/>
          <w:sz w:val="30"/>
          <w:szCs w:val="30"/>
        </w:rPr>
        <w:fldChar w:fldCharType="end"/>
      </w:r>
      <w:r>
        <w:rPr>
          <w:rFonts w:ascii="仿宋" w:hAnsi="仿宋" w:eastAsia="仿宋"/>
          <w:sz w:val="30"/>
          <w:szCs w:val="30"/>
        </w:rPr>
        <w:fldChar w:fldCharType="end"/>
      </w:r>
    </w:p>
    <w:p w14:paraId="285D81EA">
      <w:pPr>
        <w:pStyle w:val="17"/>
        <w:tabs>
          <w:tab w:val="right" w:leader="dot" w:pos="8838"/>
        </w:tabs>
        <w:spacing w:line="460" w:lineRule="exact"/>
        <w:rPr>
          <w:rFonts w:ascii="仿宋" w:hAnsi="仿宋" w:eastAsia="仿宋" w:cstheme="minorBidi"/>
          <w:b w:val="0"/>
          <w:bCs w:val="0"/>
          <w:caps w:val="0"/>
          <w:kern w:val="2"/>
          <w:sz w:val="30"/>
          <w:szCs w:val="30"/>
          <w:lang w:val="en-US" w:bidi="ar-SA"/>
        </w:rPr>
      </w:pPr>
      <w:r>
        <w:fldChar w:fldCharType="begin"/>
      </w:r>
      <w:r>
        <w:instrText xml:space="preserve"> HYPERLINK \l "_Toc195289329" </w:instrText>
      </w:r>
      <w:r>
        <w:fldChar w:fldCharType="separate"/>
      </w:r>
      <w:r>
        <w:rPr>
          <w:rStyle w:val="29"/>
          <w:rFonts w:ascii="仿宋" w:hAnsi="仿宋" w:eastAsia="仿宋"/>
          <w:b w:val="0"/>
          <w:sz w:val="32"/>
          <w:szCs w:val="30"/>
        </w:rPr>
        <w:t xml:space="preserve">2 </w:t>
      </w:r>
      <w:r>
        <w:rPr>
          <w:rStyle w:val="29"/>
          <w:rFonts w:hint="eastAsia" w:ascii="仿宋" w:hAnsi="仿宋" w:eastAsia="仿宋"/>
          <w:b w:val="0"/>
          <w:sz w:val="32"/>
          <w:szCs w:val="30"/>
        </w:rPr>
        <w:t>危险性分析</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_Toc195289329 \h </w:instrText>
      </w:r>
      <w:r>
        <w:rPr>
          <w:rFonts w:ascii="仿宋" w:hAnsi="仿宋" w:eastAsia="仿宋"/>
          <w:b w:val="0"/>
          <w:sz w:val="30"/>
          <w:szCs w:val="30"/>
        </w:rPr>
        <w:fldChar w:fldCharType="separate"/>
      </w:r>
      <w:r>
        <w:rPr>
          <w:rFonts w:ascii="仿宋" w:hAnsi="仿宋" w:eastAsia="仿宋"/>
          <w:b w:val="0"/>
          <w:sz w:val="30"/>
          <w:szCs w:val="30"/>
        </w:rPr>
        <w:t>7</w:t>
      </w:r>
      <w:r>
        <w:rPr>
          <w:rFonts w:ascii="仿宋" w:hAnsi="仿宋" w:eastAsia="仿宋"/>
          <w:b w:val="0"/>
          <w:sz w:val="30"/>
          <w:szCs w:val="30"/>
        </w:rPr>
        <w:fldChar w:fldCharType="end"/>
      </w:r>
      <w:r>
        <w:rPr>
          <w:rFonts w:ascii="仿宋" w:hAnsi="仿宋" w:eastAsia="仿宋"/>
          <w:b w:val="0"/>
          <w:sz w:val="30"/>
          <w:szCs w:val="30"/>
        </w:rPr>
        <w:fldChar w:fldCharType="end"/>
      </w:r>
    </w:p>
    <w:p w14:paraId="264DAD53">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"_Toc195289330" </w:instrText>
      </w:r>
      <w:r>
        <w:fldChar w:fldCharType="separate"/>
      </w:r>
      <w:r>
        <w:rPr>
          <w:rStyle w:val="29"/>
          <w:rFonts w:ascii="仿宋" w:hAnsi="仿宋" w:eastAsia="仿宋" w:cs="楷体"/>
          <w:sz w:val="30"/>
          <w:szCs w:val="30"/>
          <w:lang w:val="en-US"/>
        </w:rPr>
        <w:t xml:space="preserve">2.1 </w:t>
      </w:r>
      <w:r>
        <w:rPr>
          <w:rStyle w:val="29"/>
          <w:rFonts w:hint="eastAsia" w:ascii="仿宋" w:hAnsi="仿宋" w:eastAsia="仿宋" w:cs="楷体"/>
          <w:sz w:val="30"/>
          <w:szCs w:val="30"/>
          <w:lang w:val="en-US"/>
        </w:rPr>
        <w:t>基本概况</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_Toc195289330 \h </w:instrText>
      </w:r>
      <w:r>
        <w:rPr>
          <w:rFonts w:ascii="仿宋" w:hAnsi="仿宋" w:eastAsia="仿宋"/>
          <w:sz w:val="30"/>
          <w:szCs w:val="30"/>
        </w:rPr>
        <w:fldChar w:fldCharType="separate"/>
      </w:r>
      <w:r>
        <w:rPr>
          <w:rFonts w:ascii="仿宋" w:hAnsi="仿宋" w:eastAsia="仿宋"/>
          <w:sz w:val="30"/>
          <w:szCs w:val="30"/>
        </w:rPr>
        <w:t>7</w:t>
      </w:r>
      <w:r>
        <w:rPr>
          <w:rFonts w:ascii="仿宋" w:hAnsi="仿宋" w:eastAsia="仿宋"/>
          <w:sz w:val="30"/>
          <w:szCs w:val="30"/>
        </w:rPr>
        <w:fldChar w:fldCharType="end"/>
      </w:r>
      <w:r>
        <w:rPr>
          <w:rFonts w:ascii="仿宋" w:hAnsi="仿宋" w:eastAsia="仿宋"/>
          <w:sz w:val="30"/>
          <w:szCs w:val="30"/>
        </w:rPr>
        <w:fldChar w:fldCharType="end"/>
      </w:r>
    </w:p>
    <w:p w14:paraId="0CFF0F4A">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"_Toc195289331" </w:instrText>
      </w:r>
      <w:r>
        <w:fldChar w:fldCharType="separate"/>
      </w:r>
      <w:r>
        <w:rPr>
          <w:rStyle w:val="29"/>
          <w:rFonts w:ascii="仿宋" w:hAnsi="仿宋" w:eastAsia="仿宋" w:cs="楷体"/>
          <w:sz w:val="30"/>
          <w:szCs w:val="30"/>
          <w:lang w:val="en-US"/>
        </w:rPr>
        <w:t xml:space="preserve">2.2 </w:t>
      </w:r>
      <w:r>
        <w:rPr>
          <w:rStyle w:val="29"/>
          <w:rFonts w:hint="eastAsia" w:ascii="仿宋" w:hAnsi="仿宋" w:eastAsia="仿宋" w:cs="楷体"/>
          <w:sz w:val="30"/>
          <w:szCs w:val="30"/>
          <w:lang w:val="en-US"/>
        </w:rPr>
        <w:t>风险分析</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_Toc195289331 \h </w:instrText>
      </w:r>
      <w:r>
        <w:rPr>
          <w:rFonts w:ascii="仿宋" w:hAnsi="仿宋" w:eastAsia="仿宋"/>
          <w:sz w:val="30"/>
          <w:szCs w:val="30"/>
        </w:rPr>
        <w:fldChar w:fldCharType="separate"/>
      </w:r>
      <w:r>
        <w:rPr>
          <w:rFonts w:ascii="仿宋" w:hAnsi="仿宋" w:eastAsia="仿宋"/>
          <w:sz w:val="30"/>
          <w:szCs w:val="30"/>
        </w:rPr>
        <w:t>8</w:t>
      </w:r>
      <w:r>
        <w:rPr>
          <w:rFonts w:ascii="仿宋" w:hAnsi="仿宋" w:eastAsia="仿宋"/>
          <w:sz w:val="30"/>
          <w:szCs w:val="30"/>
        </w:rPr>
        <w:fldChar w:fldCharType="end"/>
      </w:r>
      <w:r>
        <w:rPr>
          <w:rFonts w:ascii="仿宋" w:hAnsi="仿宋" w:eastAsia="仿宋"/>
          <w:sz w:val="30"/>
          <w:szCs w:val="30"/>
        </w:rPr>
        <w:fldChar w:fldCharType="end"/>
      </w:r>
    </w:p>
    <w:p w14:paraId="2FFA3DF6">
      <w:pPr>
        <w:pStyle w:val="17"/>
        <w:tabs>
          <w:tab w:val="right" w:leader="dot" w:pos="8838"/>
        </w:tabs>
        <w:spacing w:line="460" w:lineRule="exact"/>
        <w:rPr>
          <w:rFonts w:ascii="仿宋" w:hAnsi="仿宋" w:eastAsia="仿宋" w:cstheme="minorBidi"/>
          <w:b w:val="0"/>
          <w:bCs w:val="0"/>
          <w:caps w:val="0"/>
          <w:kern w:val="2"/>
          <w:sz w:val="30"/>
          <w:szCs w:val="30"/>
          <w:lang w:val="en-US" w:bidi="ar-SA"/>
        </w:rPr>
      </w:pPr>
      <w:r>
        <w:fldChar w:fldCharType="begin"/>
      </w:r>
      <w:r>
        <w:instrText xml:space="preserve"> HYPERLINK \l "_Toc195289332" </w:instrText>
      </w:r>
      <w:r>
        <w:fldChar w:fldCharType="separate"/>
      </w:r>
      <w:r>
        <w:rPr>
          <w:rStyle w:val="29"/>
          <w:rFonts w:ascii="仿宋" w:hAnsi="仿宋" w:eastAsia="仿宋"/>
          <w:b w:val="0"/>
          <w:sz w:val="32"/>
          <w:szCs w:val="30"/>
        </w:rPr>
        <w:t xml:space="preserve">3 </w:t>
      </w:r>
      <w:r>
        <w:rPr>
          <w:rStyle w:val="29"/>
          <w:rFonts w:hint="eastAsia" w:ascii="仿宋" w:hAnsi="仿宋" w:eastAsia="仿宋"/>
          <w:b w:val="0"/>
          <w:sz w:val="32"/>
          <w:szCs w:val="30"/>
        </w:rPr>
        <w:t>组织指挥系统与职责</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_Toc195289332 \h </w:instrText>
      </w:r>
      <w:r>
        <w:rPr>
          <w:rFonts w:ascii="仿宋" w:hAnsi="仿宋" w:eastAsia="仿宋"/>
          <w:b w:val="0"/>
          <w:sz w:val="30"/>
          <w:szCs w:val="30"/>
        </w:rPr>
        <w:fldChar w:fldCharType="separate"/>
      </w:r>
      <w:r>
        <w:rPr>
          <w:rFonts w:ascii="仿宋" w:hAnsi="仿宋" w:eastAsia="仿宋"/>
          <w:b w:val="0"/>
          <w:sz w:val="30"/>
          <w:szCs w:val="30"/>
        </w:rPr>
        <w:t>9</w:t>
      </w:r>
      <w:r>
        <w:rPr>
          <w:rFonts w:ascii="仿宋" w:hAnsi="仿宋" w:eastAsia="仿宋"/>
          <w:b w:val="0"/>
          <w:sz w:val="30"/>
          <w:szCs w:val="30"/>
        </w:rPr>
        <w:fldChar w:fldCharType="end"/>
      </w:r>
      <w:r>
        <w:rPr>
          <w:rFonts w:ascii="仿宋" w:hAnsi="仿宋" w:eastAsia="仿宋"/>
          <w:b w:val="0"/>
          <w:sz w:val="30"/>
          <w:szCs w:val="30"/>
        </w:rPr>
        <w:fldChar w:fldCharType="end"/>
      </w:r>
    </w:p>
    <w:p w14:paraId="2E27C30F">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"_Toc195289333" </w:instrText>
      </w:r>
      <w:r>
        <w:fldChar w:fldCharType="separate"/>
      </w:r>
      <w:r>
        <w:rPr>
          <w:rStyle w:val="29"/>
          <w:rFonts w:ascii="仿宋" w:hAnsi="仿宋" w:eastAsia="仿宋" w:cs="楷体"/>
          <w:sz w:val="30"/>
          <w:szCs w:val="30"/>
          <w:lang w:val="en-US"/>
        </w:rPr>
        <w:t xml:space="preserve">3.1 </w:t>
      </w:r>
      <w:r>
        <w:rPr>
          <w:rStyle w:val="29"/>
          <w:rFonts w:hint="eastAsia" w:ascii="仿宋" w:hAnsi="仿宋" w:eastAsia="仿宋" w:cs="楷体"/>
          <w:sz w:val="30"/>
          <w:szCs w:val="30"/>
          <w:lang w:val="en-US"/>
        </w:rPr>
        <w:t>应急组织机构</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_Toc195289333 \h </w:instrText>
      </w:r>
      <w:r>
        <w:rPr>
          <w:rFonts w:ascii="仿宋" w:hAnsi="仿宋" w:eastAsia="仿宋"/>
          <w:sz w:val="30"/>
          <w:szCs w:val="30"/>
        </w:rPr>
        <w:fldChar w:fldCharType="separate"/>
      </w:r>
      <w:r>
        <w:rPr>
          <w:rFonts w:ascii="仿宋" w:hAnsi="仿宋" w:eastAsia="仿宋"/>
          <w:sz w:val="30"/>
          <w:szCs w:val="30"/>
        </w:rPr>
        <w:t>9</w:t>
      </w:r>
      <w:r>
        <w:rPr>
          <w:rFonts w:ascii="仿宋" w:hAnsi="仿宋" w:eastAsia="仿宋"/>
          <w:sz w:val="30"/>
          <w:szCs w:val="30"/>
        </w:rPr>
        <w:fldChar w:fldCharType="end"/>
      </w:r>
      <w:r>
        <w:rPr>
          <w:rFonts w:ascii="仿宋" w:hAnsi="仿宋" w:eastAsia="仿宋"/>
          <w:sz w:val="30"/>
          <w:szCs w:val="30"/>
        </w:rPr>
        <w:fldChar w:fldCharType="end"/>
      </w:r>
    </w:p>
    <w:p w14:paraId="4672F53C">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"_Toc195289334" </w:instrText>
      </w:r>
      <w:r>
        <w:fldChar w:fldCharType="separate"/>
      </w:r>
      <w:r>
        <w:rPr>
          <w:rStyle w:val="29"/>
          <w:rFonts w:ascii="仿宋" w:hAnsi="仿宋" w:eastAsia="仿宋" w:cs="楷体"/>
          <w:sz w:val="30"/>
          <w:szCs w:val="30"/>
          <w:lang w:val="en-US"/>
        </w:rPr>
        <w:t xml:space="preserve">3.2 </w:t>
      </w:r>
      <w:r>
        <w:rPr>
          <w:rStyle w:val="29"/>
          <w:rFonts w:hint="eastAsia" w:ascii="仿宋" w:hAnsi="仿宋" w:eastAsia="仿宋" w:cs="楷体"/>
          <w:sz w:val="30"/>
          <w:szCs w:val="30"/>
          <w:lang w:val="en-US"/>
        </w:rPr>
        <w:t>现场工作组</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_Toc195289334 \h </w:instrText>
      </w:r>
      <w:r>
        <w:rPr>
          <w:rFonts w:ascii="仿宋" w:hAnsi="仿宋" w:eastAsia="仿宋"/>
          <w:sz w:val="30"/>
          <w:szCs w:val="30"/>
        </w:rPr>
        <w:fldChar w:fldCharType="separate"/>
      </w:r>
      <w:r>
        <w:rPr>
          <w:rFonts w:ascii="仿宋" w:hAnsi="仿宋" w:eastAsia="仿宋"/>
          <w:sz w:val="30"/>
          <w:szCs w:val="30"/>
        </w:rPr>
        <w:t>12</w:t>
      </w:r>
      <w:r>
        <w:rPr>
          <w:rFonts w:ascii="仿宋" w:hAnsi="仿宋" w:eastAsia="仿宋"/>
          <w:sz w:val="30"/>
          <w:szCs w:val="30"/>
        </w:rPr>
        <w:fldChar w:fldCharType="end"/>
      </w:r>
      <w:r>
        <w:rPr>
          <w:rFonts w:ascii="仿宋" w:hAnsi="仿宋" w:eastAsia="仿宋"/>
          <w:sz w:val="30"/>
          <w:szCs w:val="30"/>
        </w:rPr>
        <w:fldChar w:fldCharType="end"/>
      </w:r>
    </w:p>
    <w:p w14:paraId="4336D005">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"_Toc195289335" </w:instrText>
      </w:r>
      <w:r>
        <w:fldChar w:fldCharType="separate"/>
      </w:r>
      <w:r>
        <w:rPr>
          <w:rStyle w:val="29"/>
          <w:rFonts w:ascii="仿宋" w:hAnsi="仿宋" w:eastAsia="仿宋" w:cs="楷体"/>
          <w:sz w:val="30"/>
          <w:szCs w:val="30"/>
          <w:lang w:val="en-US"/>
        </w:rPr>
        <w:t xml:space="preserve">3.3 </w:t>
      </w:r>
      <w:r>
        <w:rPr>
          <w:rStyle w:val="29"/>
          <w:rFonts w:hint="eastAsia" w:ascii="仿宋" w:hAnsi="仿宋" w:eastAsia="仿宋" w:cs="楷体"/>
          <w:sz w:val="30"/>
          <w:szCs w:val="30"/>
          <w:lang w:val="en-US"/>
        </w:rPr>
        <w:t>专家及职责</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_Toc195289335 \h </w:instrText>
      </w:r>
      <w:r>
        <w:rPr>
          <w:rFonts w:ascii="仿宋" w:hAnsi="仿宋" w:eastAsia="仿宋"/>
          <w:sz w:val="30"/>
          <w:szCs w:val="30"/>
        </w:rPr>
        <w:fldChar w:fldCharType="separate"/>
      </w:r>
      <w:r>
        <w:rPr>
          <w:rFonts w:ascii="仿宋" w:hAnsi="仿宋" w:eastAsia="仿宋"/>
          <w:sz w:val="30"/>
          <w:szCs w:val="30"/>
        </w:rPr>
        <w:t>14</w:t>
      </w:r>
      <w:r>
        <w:rPr>
          <w:rFonts w:ascii="仿宋" w:hAnsi="仿宋" w:eastAsia="仿宋"/>
          <w:sz w:val="30"/>
          <w:szCs w:val="30"/>
        </w:rPr>
        <w:fldChar w:fldCharType="end"/>
      </w:r>
      <w:r>
        <w:rPr>
          <w:rFonts w:ascii="仿宋" w:hAnsi="仿宋" w:eastAsia="仿宋"/>
          <w:sz w:val="30"/>
          <w:szCs w:val="30"/>
        </w:rPr>
        <w:fldChar w:fldCharType="end"/>
      </w:r>
    </w:p>
    <w:p w14:paraId="28D725C3">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"_Toc195289336" </w:instrText>
      </w:r>
      <w:r>
        <w:fldChar w:fldCharType="separate"/>
      </w:r>
      <w:r>
        <w:rPr>
          <w:rStyle w:val="29"/>
          <w:rFonts w:ascii="仿宋" w:hAnsi="仿宋" w:eastAsia="仿宋" w:cs="楷体"/>
          <w:sz w:val="30"/>
          <w:szCs w:val="30"/>
          <w:lang w:val="en-US"/>
        </w:rPr>
        <w:t xml:space="preserve">3.4 </w:t>
      </w:r>
      <w:r>
        <w:rPr>
          <w:rStyle w:val="29"/>
          <w:rFonts w:hint="eastAsia" w:ascii="仿宋" w:hAnsi="仿宋" w:eastAsia="仿宋" w:cs="楷体"/>
          <w:sz w:val="30"/>
          <w:szCs w:val="30"/>
          <w:lang w:val="en-US"/>
        </w:rPr>
        <w:t>应急救援队伍</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_Toc195289336 \h </w:instrText>
      </w:r>
      <w:r>
        <w:rPr>
          <w:rFonts w:ascii="仿宋" w:hAnsi="仿宋" w:eastAsia="仿宋"/>
          <w:sz w:val="30"/>
          <w:szCs w:val="30"/>
        </w:rPr>
        <w:fldChar w:fldCharType="separate"/>
      </w:r>
      <w:r>
        <w:rPr>
          <w:rFonts w:ascii="仿宋" w:hAnsi="仿宋" w:eastAsia="仿宋"/>
          <w:sz w:val="30"/>
          <w:szCs w:val="30"/>
        </w:rPr>
        <w:t>15</w:t>
      </w:r>
      <w:r>
        <w:rPr>
          <w:rFonts w:ascii="仿宋" w:hAnsi="仿宋" w:eastAsia="仿宋"/>
          <w:sz w:val="30"/>
          <w:szCs w:val="30"/>
        </w:rPr>
        <w:fldChar w:fldCharType="end"/>
      </w:r>
      <w:r>
        <w:rPr>
          <w:rFonts w:ascii="仿宋" w:hAnsi="仿宋" w:eastAsia="仿宋"/>
          <w:sz w:val="30"/>
          <w:szCs w:val="30"/>
        </w:rPr>
        <w:fldChar w:fldCharType="end"/>
      </w:r>
    </w:p>
    <w:p w14:paraId="60D06A6D">
      <w:pPr>
        <w:pStyle w:val="17"/>
        <w:tabs>
          <w:tab w:val="right" w:leader="dot" w:pos="8838"/>
        </w:tabs>
        <w:spacing w:line="460" w:lineRule="exact"/>
        <w:rPr>
          <w:rFonts w:ascii="仿宋" w:hAnsi="仿宋" w:eastAsia="仿宋" w:cstheme="minorBidi"/>
          <w:b w:val="0"/>
          <w:bCs w:val="0"/>
          <w:caps w:val="0"/>
          <w:kern w:val="2"/>
          <w:sz w:val="30"/>
          <w:szCs w:val="30"/>
          <w:lang w:val="en-US" w:bidi="ar-SA"/>
        </w:rPr>
      </w:pPr>
      <w:r>
        <w:fldChar w:fldCharType="begin"/>
      </w:r>
      <w:r>
        <w:instrText xml:space="preserve"> HYPERLINK \l "_Toc195289337" </w:instrText>
      </w:r>
      <w:r>
        <w:fldChar w:fldCharType="separate"/>
      </w:r>
      <w:r>
        <w:rPr>
          <w:rStyle w:val="29"/>
          <w:rFonts w:ascii="仿宋" w:hAnsi="仿宋" w:eastAsia="仿宋" w:cs="黑体"/>
          <w:b w:val="0"/>
          <w:sz w:val="32"/>
          <w:szCs w:val="30"/>
        </w:rPr>
        <w:t xml:space="preserve">4 </w:t>
      </w:r>
      <w:r>
        <w:rPr>
          <w:rStyle w:val="29"/>
          <w:rFonts w:hint="eastAsia" w:ascii="仿宋" w:hAnsi="仿宋" w:eastAsia="仿宋" w:cs="黑体"/>
          <w:b w:val="0"/>
          <w:sz w:val="32"/>
          <w:szCs w:val="30"/>
        </w:rPr>
        <w:t>预警及信息报告</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_Toc195289337 \h </w:instrText>
      </w:r>
      <w:r>
        <w:rPr>
          <w:rFonts w:ascii="仿宋" w:hAnsi="仿宋" w:eastAsia="仿宋"/>
          <w:b w:val="0"/>
          <w:sz w:val="30"/>
          <w:szCs w:val="30"/>
        </w:rPr>
        <w:fldChar w:fldCharType="separate"/>
      </w:r>
      <w:r>
        <w:rPr>
          <w:rFonts w:ascii="仿宋" w:hAnsi="仿宋" w:eastAsia="仿宋"/>
          <w:b w:val="0"/>
          <w:sz w:val="30"/>
          <w:szCs w:val="30"/>
        </w:rPr>
        <w:t>15</w:t>
      </w:r>
      <w:r>
        <w:rPr>
          <w:rFonts w:ascii="仿宋" w:hAnsi="仿宋" w:eastAsia="仿宋"/>
          <w:b w:val="0"/>
          <w:sz w:val="30"/>
          <w:szCs w:val="30"/>
        </w:rPr>
        <w:fldChar w:fldCharType="end"/>
      </w:r>
      <w:r>
        <w:rPr>
          <w:rFonts w:ascii="仿宋" w:hAnsi="仿宋" w:eastAsia="仿宋"/>
          <w:b w:val="0"/>
          <w:sz w:val="30"/>
          <w:szCs w:val="30"/>
        </w:rPr>
        <w:fldChar w:fldCharType="end"/>
      </w:r>
    </w:p>
    <w:p w14:paraId="368FC777">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"_Toc195289338" </w:instrText>
      </w:r>
      <w:r>
        <w:fldChar w:fldCharType="separate"/>
      </w:r>
      <w:r>
        <w:rPr>
          <w:rStyle w:val="29"/>
          <w:rFonts w:ascii="仿宋" w:hAnsi="仿宋" w:eastAsia="仿宋" w:cs="楷体"/>
          <w:sz w:val="30"/>
          <w:szCs w:val="30"/>
          <w:lang w:val="en-US"/>
        </w:rPr>
        <w:t xml:space="preserve">4.1 </w:t>
      </w:r>
      <w:r>
        <w:rPr>
          <w:rStyle w:val="29"/>
          <w:rFonts w:hint="eastAsia" w:ascii="仿宋" w:hAnsi="仿宋" w:eastAsia="仿宋" w:cs="楷体"/>
          <w:sz w:val="30"/>
          <w:szCs w:val="30"/>
          <w:lang w:val="en-US"/>
        </w:rPr>
        <w:t>监测</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_Toc195289338 \h </w:instrText>
      </w:r>
      <w:r>
        <w:rPr>
          <w:rFonts w:ascii="仿宋" w:hAnsi="仿宋" w:eastAsia="仿宋"/>
          <w:sz w:val="30"/>
          <w:szCs w:val="30"/>
        </w:rPr>
        <w:fldChar w:fldCharType="separate"/>
      </w:r>
      <w:r>
        <w:rPr>
          <w:rFonts w:ascii="仿宋" w:hAnsi="仿宋" w:eastAsia="仿宋"/>
          <w:sz w:val="30"/>
          <w:szCs w:val="30"/>
        </w:rPr>
        <w:t>15</w:t>
      </w:r>
      <w:r>
        <w:rPr>
          <w:rFonts w:ascii="仿宋" w:hAnsi="仿宋" w:eastAsia="仿宋"/>
          <w:sz w:val="30"/>
          <w:szCs w:val="30"/>
        </w:rPr>
        <w:fldChar w:fldCharType="end"/>
      </w:r>
      <w:r>
        <w:rPr>
          <w:rFonts w:ascii="仿宋" w:hAnsi="仿宋" w:eastAsia="仿宋"/>
          <w:sz w:val="30"/>
          <w:szCs w:val="30"/>
        </w:rPr>
        <w:fldChar w:fldCharType="end"/>
      </w:r>
    </w:p>
    <w:p w14:paraId="44E40156">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"_Toc195289339" </w:instrText>
      </w:r>
      <w:r>
        <w:fldChar w:fldCharType="separate"/>
      </w:r>
      <w:r>
        <w:rPr>
          <w:rStyle w:val="29"/>
          <w:rFonts w:ascii="仿宋" w:hAnsi="仿宋" w:eastAsia="仿宋" w:cs="楷体"/>
          <w:sz w:val="30"/>
          <w:szCs w:val="30"/>
          <w:lang w:val="en-US"/>
        </w:rPr>
        <w:t xml:space="preserve">4.2 </w:t>
      </w:r>
      <w:r>
        <w:rPr>
          <w:rStyle w:val="29"/>
          <w:rFonts w:hint="eastAsia" w:ascii="仿宋" w:hAnsi="仿宋" w:eastAsia="仿宋" w:cs="楷体"/>
          <w:sz w:val="30"/>
          <w:szCs w:val="30"/>
          <w:lang w:val="en-US"/>
        </w:rPr>
        <w:t>预警行动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_Toc195289339 \h </w:instrText>
      </w:r>
      <w:r>
        <w:rPr>
          <w:rFonts w:ascii="仿宋" w:hAnsi="仿宋" w:eastAsia="仿宋"/>
          <w:sz w:val="30"/>
          <w:szCs w:val="30"/>
        </w:rPr>
        <w:fldChar w:fldCharType="separate"/>
      </w:r>
      <w:r>
        <w:rPr>
          <w:rFonts w:ascii="仿宋" w:hAnsi="仿宋" w:eastAsia="仿宋"/>
          <w:sz w:val="30"/>
          <w:szCs w:val="30"/>
        </w:rPr>
        <w:t>16</w:t>
      </w:r>
      <w:r>
        <w:rPr>
          <w:rFonts w:ascii="仿宋" w:hAnsi="仿宋" w:eastAsia="仿宋"/>
          <w:sz w:val="30"/>
          <w:szCs w:val="30"/>
        </w:rPr>
        <w:fldChar w:fldCharType="end"/>
      </w:r>
      <w:r>
        <w:rPr>
          <w:rFonts w:ascii="仿宋" w:hAnsi="仿宋" w:eastAsia="仿宋"/>
          <w:sz w:val="30"/>
          <w:szCs w:val="30"/>
        </w:rPr>
        <w:fldChar w:fldCharType="end"/>
      </w:r>
    </w:p>
    <w:p w14:paraId="7A1429AA">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"_Toc195289340" </w:instrText>
      </w:r>
      <w:r>
        <w:fldChar w:fldCharType="separate"/>
      </w:r>
      <w:r>
        <w:rPr>
          <w:rStyle w:val="29"/>
          <w:rFonts w:ascii="仿宋" w:hAnsi="仿宋" w:eastAsia="仿宋" w:cs="楷体"/>
          <w:sz w:val="30"/>
          <w:szCs w:val="30"/>
          <w:lang w:val="en-US"/>
        </w:rPr>
        <w:t xml:space="preserve">4.3 </w:t>
      </w:r>
      <w:r>
        <w:rPr>
          <w:rStyle w:val="29"/>
          <w:rFonts w:hint="eastAsia" w:ascii="仿宋" w:hAnsi="仿宋" w:eastAsia="仿宋" w:cs="楷体"/>
          <w:sz w:val="30"/>
          <w:szCs w:val="30"/>
          <w:lang w:val="en-US"/>
        </w:rPr>
        <w:t>信息上报</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_Toc195289340 \h </w:instrText>
      </w:r>
      <w:r>
        <w:rPr>
          <w:rFonts w:ascii="仿宋" w:hAnsi="仿宋" w:eastAsia="仿宋"/>
          <w:sz w:val="30"/>
          <w:szCs w:val="30"/>
        </w:rPr>
        <w:fldChar w:fldCharType="separate"/>
      </w:r>
      <w:r>
        <w:rPr>
          <w:rFonts w:ascii="仿宋" w:hAnsi="仿宋" w:eastAsia="仿宋"/>
          <w:sz w:val="30"/>
          <w:szCs w:val="30"/>
        </w:rPr>
        <w:t>16</w:t>
      </w:r>
      <w:r>
        <w:rPr>
          <w:rFonts w:ascii="仿宋" w:hAnsi="仿宋" w:eastAsia="仿宋"/>
          <w:sz w:val="30"/>
          <w:szCs w:val="30"/>
        </w:rPr>
        <w:fldChar w:fldCharType="end"/>
      </w:r>
      <w:r>
        <w:rPr>
          <w:rFonts w:ascii="仿宋" w:hAnsi="仿宋" w:eastAsia="仿宋"/>
          <w:sz w:val="30"/>
          <w:szCs w:val="30"/>
        </w:rPr>
        <w:fldChar w:fldCharType="end"/>
      </w:r>
    </w:p>
    <w:p w14:paraId="728F4E66">
      <w:pPr>
        <w:pStyle w:val="17"/>
        <w:tabs>
          <w:tab w:val="right" w:leader="dot" w:pos="8838"/>
        </w:tabs>
        <w:spacing w:line="460" w:lineRule="exact"/>
        <w:rPr>
          <w:rFonts w:ascii="仿宋" w:hAnsi="仿宋" w:eastAsia="仿宋" w:cstheme="minorBidi"/>
          <w:b w:val="0"/>
          <w:bCs w:val="0"/>
          <w:caps w:val="0"/>
          <w:kern w:val="2"/>
          <w:sz w:val="30"/>
          <w:szCs w:val="30"/>
          <w:lang w:val="en-US" w:bidi="ar-SA"/>
        </w:rPr>
      </w:pPr>
      <w:r>
        <w:fldChar w:fldCharType="begin"/>
      </w:r>
      <w:r>
        <w:instrText xml:space="preserve"> HYPERLINK \l "_Toc195289341" </w:instrText>
      </w:r>
      <w:r>
        <w:fldChar w:fldCharType="separate"/>
      </w:r>
      <w:r>
        <w:rPr>
          <w:rStyle w:val="29"/>
          <w:rFonts w:ascii="仿宋" w:hAnsi="仿宋" w:eastAsia="仿宋" w:cs="Times New Roman"/>
          <w:b w:val="0"/>
          <w:spacing w:val="-6"/>
          <w:sz w:val="32"/>
          <w:szCs w:val="30"/>
          <w:lang w:val="en-US"/>
        </w:rPr>
        <w:t xml:space="preserve">5 </w:t>
      </w:r>
      <w:r>
        <w:rPr>
          <w:rStyle w:val="29"/>
          <w:rFonts w:hint="eastAsia" w:ascii="仿宋" w:hAnsi="仿宋" w:eastAsia="仿宋" w:cs="Times New Roman"/>
          <w:b w:val="0"/>
          <w:spacing w:val="-6"/>
          <w:sz w:val="32"/>
          <w:szCs w:val="30"/>
          <w:lang w:val="en-US"/>
        </w:rPr>
        <w:t>应急响应</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_Toc195289341 \h </w:instrText>
      </w:r>
      <w:r>
        <w:rPr>
          <w:rFonts w:ascii="仿宋" w:hAnsi="仿宋" w:eastAsia="仿宋"/>
          <w:b w:val="0"/>
          <w:sz w:val="30"/>
          <w:szCs w:val="30"/>
        </w:rPr>
        <w:fldChar w:fldCharType="separate"/>
      </w:r>
      <w:r>
        <w:rPr>
          <w:rFonts w:ascii="仿宋" w:hAnsi="仿宋" w:eastAsia="仿宋"/>
          <w:b w:val="0"/>
          <w:sz w:val="30"/>
          <w:szCs w:val="30"/>
        </w:rPr>
        <w:t>17</w:t>
      </w:r>
      <w:r>
        <w:rPr>
          <w:rFonts w:ascii="仿宋" w:hAnsi="仿宋" w:eastAsia="仿宋"/>
          <w:b w:val="0"/>
          <w:sz w:val="30"/>
          <w:szCs w:val="30"/>
        </w:rPr>
        <w:fldChar w:fldCharType="end"/>
      </w:r>
      <w:r>
        <w:rPr>
          <w:rFonts w:ascii="仿宋" w:hAnsi="仿宋" w:eastAsia="仿宋"/>
          <w:b w:val="0"/>
          <w:sz w:val="30"/>
          <w:szCs w:val="30"/>
        </w:rPr>
        <w:fldChar w:fldCharType="end"/>
      </w:r>
    </w:p>
    <w:p w14:paraId="7EBF91C4">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"_Toc195289342" </w:instrText>
      </w:r>
      <w:r>
        <w:fldChar w:fldCharType="separate"/>
      </w:r>
      <w:r>
        <w:rPr>
          <w:rStyle w:val="29"/>
          <w:rFonts w:ascii="仿宋" w:hAnsi="仿宋" w:eastAsia="仿宋" w:cs="楷体"/>
          <w:sz w:val="30"/>
          <w:szCs w:val="30"/>
          <w:lang w:val="en-US"/>
        </w:rPr>
        <w:t xml:space="preserve">5.1 </w:t>
      </w:r>
      <w:r>
        <w:rPr>
          <w:rStyle w:val="29"/>
          <w:rFonts w:hint="eastAsia" w:ascii="仿宋" w:hAnsi="仿宋" w:eastAsia="仿宋" w:cs="楷体"/>
          <w:sz w:val="30"/>
          <w:szCs w:val="30"/>
          <w:lang w:val="en-US"/>
        </w:rPr>
        <w:t>响应分级</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_Toc195289342 \h </w:instrText>
      </w:r>
      <w:r>
        <w:rPr>
          <w:rFonts w:ascii="仿宋" w:hAnsi="仿宋" w:eastAsia="仿宋"/>
          <w:sz w:val="30"/>
          <w:szCs w:val="30"/>
        </w:rPr>
        <w:fldChar w:fldCharType="separate"/>
      </w:r>
      <w:r>
        <w:rPr>
          <w:rFonts w:ascii="仿宋" w:hAnsi="仿宋" w:eastAsia="仿宋"/>
          <w:sz w:val="30"/>
          <w:szCs w:val="30"/>
        </w:rPr>
        <w:t>17</w:t>
      </w:r>
      <w:r>
        <w:rPr>
          <w:rFonts w:ascii="仿宋" w:hAnsi="仿宋" w:eastAsia="仿宋"/>
          <w:sz w:val="30"/>
          <w:szCs w:val="30"/>
        </w:rPr>
        <w:fldChar w:fldCharType="end"/>
      </w:r>
      <w:r>
        <w:rPr>
          <w:rFonts w:ascii="仿宋" w:hAnsi="仿宋" w:eastAsia="仿宋"/>
          <w:sz w:val="30"/>
          <w:szCs w:val="30"/>
        </w:rPr>
        <w:fldChar w:fldCharType="end"/>
      </w:r>
    </w:p>
    <w:p w14:paraId="16481001">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"_Toc195289343" </w:instrText>
      </w:r>
      <w:r>
        <w:fldChar w:fldCharType="separate"/>
      </w:r>
      <w:r>
        <w:rPr>
          <w:rStyle w:val="29"/>
          <w:rFonts w:ascii="仿宋" w:hAnsi="仿宋" w:eastAsia="仿宋" w:cs="楷体"/>
          <w:sz w:val="30"/>
          <w:szCs w:val="30"/>
          <w:lang w:val="en-US"/>
        </w:rPr>
        <w:t xml:space="preserve">5.2 </w:t>
      </w:r>
      <w:r>
        <w:rPr>
          <w:rStyle w:val="29"/>
          <w:rFonts w:hint="eastAsia" w:ascii="仿宋" w:hAnsi="仿宋" w:eastAsia="仿宋" w:cs="楷体"/>
          <w:sz w:val="30"/>
          <w:szCs w:val="30"/>
          <w:lang w:val="en-US"/>
        </w:rPr>
        <w:t>响应程序</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_Toc195289343 \h </w:instrText>
      </w:r>
      <w:r>
        <w:rPr>
          <w:rFonts w:ascii="仿宋" w:hAnsi="仿宋" w:eastAsia="仿宋"/>
          <w:sz w:val="30"/>
          <w:szCs w:val="30"/>
        </w:rPr>
        <w:fldChar w:fldCharType="separate"/>
      </w:r>
      <w:r>
        <w:rPr>
          <w:rFonts w:ascii="仿宋" w:hAnsi="仿宋" w:eastAsia="仿宋"/>
          <w:sz w:val="30"/>
          <w:szCs w:val="30"/>
        </w:rPr>
        <w:t>18</w:t>
      </w:r>
      <w:r>
        <w:rPr>
          <w:rFonts w:ascii="仿宋" w:hAnsi="仿宋" w:eastAsia="仿宋"/>
          <w:sz w:val="30"/>
          <w:szCs w:val="30"/>
        </w:rPr>
        <w:fldChar w:fldCharType="end"/>
      </w:r>
      <w:r>
        <w:rPr>
          <w:rFonts w:ascii="仿宋" w:hAnsi="仿宋" w:eastAsia="仿宋"/>
          <w:sz w:val="30"/>
          <w:szCs w:val="30"/>
        </w:rPr>
        <w:fldChar w:fldCharType="end"/>
      </w:r>
    </w:p>
    <w:p w14:paraId="659ABD52">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"_Toc195289344" </w:instrText>
      </w:r>
      <w:r>
        <w:fldChar w:fldCharType="separate"/>
      </w:r>
      <w:r>
        <w:rPr>
          <w:rStyle w:val="29"/>
          <w:rFonts w:ascii="仿宋" w:hAnsi="仿宋" w:eastAsia="仿宋" w:cs="楷体"/>
          <w:sz w:val="30"/>
          <w:szCs w:val="30"/>
          <w:lang w:val="en-US"/>
        </w:rPr>
        <w:t xml:space="preserve">5.3 </w:t>
      </w:r>
      <w:r>
        <w:rPr>
          <w:rStyle w:val="29"/>
          <w:rFonts w:hint="eastAsia" w:ascii="仿宋" w:hAnsi="仿宋" w:eastAsia="仿宋" w:cs="楷体"/>
          <w:sz w:val="30"/>
          <w:szCs w:val="30"/>
          <w:lang w:val="en-US"/>
        </w:rPr>
        <w:t>应急处置</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_Toc195289344 \h </w:instrText>
      </w:r>
      <w:r>
        <w:rPr>
          <w:rFonts w:ascii="仿宋" w:hAnsi="仿宋" w:eastAsia="仿宋"/>
          <w:sz w:val="30"/>
          <w:szCs w:val="30"/>
        </w:rPr>
        <w:fldChar w:fldCharType="separate"/>
      </w:r>
      <w:r>
        <w:rPr>
          <w:rFonts w:ascii="仿宋" w:hAnsi="仿宋" w:eastAsia="仿宋"/>
          <w:sz w:val="30"/>
          <w:szCs w:val="30"/>
        </w:rPr>
        <w:t>19</w:t>
      </w:r>
      <w:r>
        <w:rPr>
          <w:rFonts w:ascii="仿宋" w:hAnsi="仿宋" w:eastAsia="仿宋"/>
          <w:sz w:val="30"/>
          <w:szCs w:val="30"/>
        </w:rPr>
        <w:fldChar w:fldCharType="end"/>
      </w:r>
      <w:r>
        <w:rPr>
          <w:rFonts w:ascii="仿宋" w:hAnsi="仿宋" w:eastAsia="仿宋"/>
          <w:sz w:val="30"/>
          <w:szCs w:val="30"/>
        </w:rPr>
        <w:fldChar w:fldCharType="end"/>
      </w:r>
    </w:p>
    <w:p w14:paraId="7C5DCD26">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"_Toc195289345" </w:instrText>
      </w:r>
      <w:r>
        <w:fldChar w:fldCharType="separate"/>
      </w:r>
      <w:r>
        <w:rPr>
          <w:rStyle w:val="29"/>
          <w:rFonts w:ascii="仿宋" w:hAnsi="仿宋" w:eastAsia="仿宋" w:cs="楷体"/>
          <w:sz w:val="30"/>
          <w:szCs w:val="30"/>
          <w:lang w:val="en-US"/>
        </w:rPr>
        <w:t xml:space="preserve">5.4 </w:t>
      </w:r>
      <w:r>
        <w:rPr>
          <w:rStyle w:val="29"/>
          <w:rFonts w:hint="eastAsia" w:ascii="仿宋" w:hAnsi="仿宋" w:eastAsia="仿宋" w:cs="楷体"/>
          <w:sz w:val="30"/>
          <w:szCs w:val="30"/>
          <w:lang w:val="en-US"/>
        </w:rPr>
        <w:t>应急升级或降级</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_Toc195289345 \h </w:instrText>
      </w:r>
      <w:r>
        <w:rPr>
          <w:rFonts w:ascii="仿宋" w:hAnsi="仿宋" w:eastAsia="仿宋"/>
          <w:sz w:val="30"/>
          <w:szCs w:val="30"/>
        </w:rPr>
        <w:fldChar w:fldCharType="separate"/>
      </w:r>
      <w:r>
        <w:rPr>
          <w:rFonts w:ascii="仿宋" w:hAnsi="仿宋" w:eastAsia="仿宋"/>
          <w:sz w:val="30"/>
          <w:szCs w:val="30"/>
        </w:rPr>
        <w:t>22</w:t>
      </w:r>
      <w:r>
        <w:rPr>
          <w:rFonts w:ascii="仿宋" w:hAnsi="仿宋" w:eastAsia="仿宋"/>
          <w:sz w:val="30"/>
          <w:szCs w:val="30"/>
        </w:rPr>
        <w:fldChar w:fldCharType="end"/>
      </w:r>
      <w:r>
        <w:rPr>
          <w:rFonts w:ascii="仿宋" w:hAnsi="仿宋" w:eastAsia="仿宋"/>
          <w:sz w:val="30"/>
          <w:szCs w:val="30"/>
        </w:rPr>
        <w:fldChar w:fldCharType="end"/>
      </w:r>
    </w:p>
    <w:p w14:paraId="35942D41">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"_Toc195289346" </w:instrText>
      </w:r>
      <w:r>
        <w:fldChar w:fldCharType="separate"/>
      </w:r>
      <w:r>
        <w:rPr>
          <w:rStyle w:val="29"/>
          <w:rFonts w:ascii="仿宋" w:hAnsi="仿宋" w:eastAsia="仿宋" w:cs="楷体"/>
          <w:sz w:val="30"/>
          <w:szCs w:val="30"/>
          <w:lang w:val="en-US"/>
        </w:rPr>
        <w:t xml:space="preserve">5.5 </w:t>
      </w:r>
      <w:r>
        <w:rPr>
          <w:rStyle w:val="29"/>
          <w:rFonts w:hint="eastAsia" w:ascii="仿宋" w:hAnsi="仿宋" w:eastAsia="仿宋" w:cs="楷体"/>
          <w:sz w:val="30"/>
          <w:szCs w:val="30"/>
          <w:lang w:val="en-US"/>
        </w:rPr>
        <w:t>信息发布</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_Toc195289346 \h </w:instrText>
      </w:r>
      <w:r>
        <w:rPr>
          <w:rFonts w:ascii="仿宋" w:hAnsi="仿宋" w:eastAsia="仿宋"/>
          <w:sz w:val="30"/>
          <w:szCs w:val="30"/>
        </w:rPr>
        <w:fldChar w:fldCharType="separate"/>
      </w:r>
      <w:r>
        <w:rPr>
          <w:rFonts w:ascii="仿宋" w:hAnsi="仿宋" w:eastAsia="仿宋"/>
          <w:sz w:val="30"/>
          <w:szCs w:val="30"/>
        </w:rPr>
        <w:t>22</w:t>
      </w:r>
      <w:r>
        <w:rPr>
          <w:rFonts w:ascii="仿宋" w:hAnsi="仿宋" w:eastAsia="仿宋"/>
          <w:sz w:val="30"/>
          <w:szCs w:val="30"/>
        </w:rPr>
        <w:fldChar w:fldCharType="end"/>
      </w:r>
      <w:r>
        <w:rPr>
          <w:rFonts w:ascii="仿宋" w:hAnsi="仿宋" w:eastAsia="仿宋"/>
          <w:sz w:val="30"/>
          <w:szCs w:val="30"/>
        </w:rPr>
        <w:fldChar w:fldCharType="end"/>
      </w:r>
    </w:p>
    <w:p w14:paraId="1098F999">
      <w:pPr>
        <w:pStyle w:val="17"/>
        <w:tabs>
          <w:tab w:val="right" w:leader="dot" w:pos="8838"/>
        </w:tabs>
        <w:spacing w:line="460" w:lineRule="exact"/>
        <w:rPr>
          <w:rFonts w:ascii="仿宋" w:hAnsi="仿宋" w:eastAsia="仿宋" w:cstheme="minorBidi"/>
          <w:b w:val="0"/>
          <w:bCs w:val="0"/>
          <w:caps w:val="0"/>
          <w:kern w:val="2"/>
          <w:sz w:val="30"/>
          <w:szCs w:val="30"/>
          <w:lang w:val="en-US" w:bidi="ar-SA"/>
        </w:rPr>
      </w:pPr>
      <w:r>
        <w:fldChar w:fldCharType="begin"/>
      </w:r>
      <w:r>
        <w:instrText xml:space="preserve"> HYPERLINK \l "_Toc195289347" </w:instrText>
      </w:r>
      <w:r>
        <w:fldChar w:fldCharType="separate"/>
      </w:r>
      <w:r>
        <w:rPr>
          <w:rStyle w:val="29"/>
          <w:rFonts w:ascii="仿宋" w:hAnsi="仿宋" w:eastAsia="仿宋" w:cs="Times New Roman"/>
          <w:b w:val="0"/>
          <w:spacing w:val="-6"/>
          <w:sz w:val="32"/>
          <w:szCs w:val="30"/>
          <w:lang w:val="en-US"/>
        </w:rPr>
        <w:t xml:space="preserve">6 </w:t>
      </w:r>
      <w:r>
        <w:rPr>
          <w:rStyle w:val="29"/>
          <w:rFonts w:hint="eastAsia" w:ascii="仿宋" w:hAnsi="仿宋" w:eastAsia="仿宋" w:cs="Times New Roman"/>
          <w:b w:val="0"/>
          <w:spacing w:val="-6"/>
          <w:sz w:val="32"/>
          <w:szCs w:val="30"/>
          <w:lang w:val="en-US"/>
        </w:rPr>
        <w:t>后期处置</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_Toc195289347 \h </w:instrText>
      </w:r>
      <w:r>
        <w:rPr>
          <w:rFonts w:ascii="仿宋" w:hAnsi="仿宋" w:eastAsia="仿宋"/>
          <w:b w:val="0"/>
          <w:sz w:val="30"/>
          <w:szCs w:val="30"/>
        </w:rPr>
        <w:fldChar w:fldCharType="separate"/>
      </w:r>
      <w:r>
        <w:rPr>
          <w:rFonts w:ascii="仿宋" w:hAnsi="仿宋" w:eastAsia="仿宋"/>
          <w:b w:val="0"/>
          <w:sz w:val="30"/>
          <w:szCs w:val="30"/>
        </w:rPr>
        <w:t>23</w:t>
      </w:r>
      <w:r>
        <w:rPr>
          <w:rFonts w:ascii="仿宋" w:hAnsi="仿宋" w:eastAsia="仿宋"/>
          <w:b w:val="0"/>
          <w:sz w:val="30"/>
          <w:szCs w:val="30"/>
        </w:rPr>
        <w:fldChar w:fldCharType="end"/>
      </w:r>
      <w:r>
        <w:rPr>
          <w:rFonts w:ascii="仿宋" w:hAnsi="仿宋" w:eastAsia="仿宋"/>
          <w:b w:val="0"/>
          <w:sz w:val="30"/>
          <w:szCs w:val="30"/>
        </w:rPr>
        <w:fldChar w:fldCharType="end"/>
      </w:r>
    </w:p>
    <w:p w14:paraId="57AC1409">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"_Toc195289348" </w:instrText>
      </w:r>
      <w:r>
        <w:fldChar w:fldCharType="separate"/>
      </w:r>
      <w:r>
        <w:rPr>
          <w:rStyle w:val="29"/>
          <w:rFonts w:ascii="仿宋" w:hAnsi="仿宋" w:eastAsia="仿宋" w:cs="楷体"/>
          <w:sz w:val="30"/>
          <w:szCs w:val="30"/>
          <w:lang w:val="en-US"/>
        </w:rPr>
        <w:t xml:space="preserve">6.1 </w:t>
      </w:r>
      <w:r>
        <w:rPr>
          <w:rStyle w:val="29"/>
          <w:rFonts w:hint="eastAsia" w:ascii="仿宋" w:hAnsi="仿宋" w:eastAsia="仿宋" w:cs="楷体"/>
          <w:sz w:val="30"/>
          <w:szCs w:val="30"/>
          <w:lang w:val="en-US"/>
        </w:rPr>
        <w:t>善后处置</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_Toc195289348 \h </w:instrText>
      </w:r>
      <w:r>
        <w:rPr>
          <w:rFonts w:ascii="仿宋" w:hAnsi="仿宋" w:eastAsia="仿宋"/>
          <w:sz w:val="30"/>
          <w:szCs w:val="30"/>
        </w:rPr>
        <w:fldChar w:fldCharType="separate"/>
      </w:r>
      <w:r>
        <w:rPr>
          <w:rFonts w:ascii="仿宋" w:hAnsi="仿宋" w:eastAsia="仿宋"/>
          <w:sz w:val="30"/>
          <w:szCs w:val="30"/>
        </w:rPr>
        <w:t>23</w:t>
      </w:r>
      <w:r>
        <w:rPr>
          <w:rFonts w:ascii="仿宋" w:hAnsi="仿宋" w:eastAsia="仿宋"/>
          <w:sz w:val="30"/>
          <w:szCs w:val="30"/>
        </w:rPr>
        <w:fldChar w:fldCharType="end"/>
      </w:r>
      <w:r>
        <w:rPr>
          <w:rFonts w:ascii="仿宋" w:hAnsi="仿宋" w:eastAsia="仿宋"/>
          <w:sz w:val="30"/>
          <w:szCs w:val="30"/>
        </w:rPr>
        <w:fldChar w:fldCharType="end"/>
      </w:r>
    </w:p>
    <w:p w14:paraId="7F89729C">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"_Toc195289349" </w:instrText>
      </w:r>
      <w:r>
        <w:fldChar w:fldCharType="separate"/>
      </w:r>
      <w:r>
        <w:rPr>
          <w:rStyle w:val="29"/>
          <w:rFonts w:ascii="仿宋" w:hAnsi="仿宋" w:eastAsia="仿宋" w:cs="楷体"/>
          <w:sz w:val="30"/>
          <w:szCs w:val="30"/>
          <w:lang w:val="en-US"/>
        </w:rPr>
        <w:t xml:space="preserve">6.2 </w:t>
      </w:r>
      <w:r>
        <w:rPr>
          <w:rStyle w:val="29"/>
          <w:rFonts w:hint="eastAsia" w:ascii="仿宋" w:hAnsi="仿宋" w:eastAsia="仿宋" w:cs="楷体"/>
          <w:sz w:val="30"/>
          <w:szCs w:val="30"/>
          <w:lang w:val="en-US"/>
        </w:rPr>
        <w:t>保险与理赔</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_Toc195289349 \h </w:instrText>
      </w:r>
      <w:r>
        <w:rPr>
          <w:rFonts w:ascii="仿宋" w:hAnsi="仿宋" w:eastAsia="仿宋"/>
          <w:sz w:val="30"/>
          <w:szCs w:val="30"/>
        </w:rPr>
        <w:fldChar w:fldCharType="separate"/>
      </w:r>
      <w:r>
        <w:rPr>
          <w:rFonts w:ascii="仿宋" w:hAnsi="仿宋" w:eastAsia="仿宋"/>
          <w:sz w:val="30"/>
          <w:szCs w:val="30"/>
        </w:rPr>
        <w:t>23</w:t>
      </w:r>
      <w:r>
        <w:rPr>
          <w:rFonts w:ascii="仿宋" w:hAnsi="仿宋" w:eastAsia="仿宋"/>
          <w:sz w:val="30"/>
          <w:szCs w:val="30"/>
        </w:rPr>
        <w:fldChar w:fldCharType="end"/>
      </w:r>
      <w:r>
        <w:rPr>
          <w:rFonts w:ascii="仿宋" w:hAnsi="仿宋" w:eastAsia="仿宋"/>
          <w:sz w:val="30"/>
          <w:szCs w:val="30"/>
        </w:rPr>
        <w:fldChar w:fldCharType="end"/>
      </w:r>
    </w:p>
    <w:p w14:paraId="56FEC69A">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"_Toc195289350" </w:instrText>
      </w:r>
      <w:r>
        <w:fldChar w:fldCharType="separate"/>
      </w:r>
      <w:r>
        <w:rPr>
          <w:rStyle w:val="29"/>
          <w:rFonts w:ascii="仿宋" w:hAnsi="仿宋" w:eastAsia="仿宋" w:cs="楷体"/>
          <w:sz w:val="30"/>
          <w:szCs w:val="30"/>
          <w:lang w:val="en-US"/>
        </w:rPr>
        <w:t xml:space="preserve">6.3 </w:t>
      </w:r>
      <w:r>
        <w:rPr>
          <w:rStyle w:val="29"/>
          <w:rFonts w:hint="eastAsia" w:ascii="仿宋" w:hAnsi="仿宋" w:eastAsia="仿宋" w:cs="楷体"/>
          <w:sz w:val="30"/>
          <w:szCs w:val="30"/>
          <w:lang w:val="en-US"/>
        </w:rPr>
        <w:t>事故的调查</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_Toc195289350 \h </w:instrText>
      </w:r>
      <w:r>
        <w:rPr>
          <w:rFonts w:ascii="仿宋" w:hAnsi="仿宋" w:eastAsia="仿宋"/>
          <w:sz w:val="30"/>
          <w:szCs w:val="30"/>
        </w:rPr>
        <w:fldChar w:fldCharType="separate"/>
      </w:r>
      <w:r>
        <w:rPr>
          <w:rFonts w:ascii="仿宋" w:hAnsi="仿宋" w:eastAsia="仿宋"/>
          <w:sz w:val="30"/>
          <w:szCs w:val="30"/>
        </w:rPr>
        <w:t>23</w:t>
      </w:r>
      <w:r>
        <w:rPr>
          <w:rFonts w:ascii="仿宋" w:hAnsi="仿宋" w:eastAsia="仿宋"/>
          <w:sz w:val="30"/>
          <w:szCs w:val="30"/>
        </w:rPr>
        <w:fldChar w:fldCharType="end"/>
      </w:r>
      <w:r>
        <w:rPr>
          <w:rFonts w:ascii="仿宋" w:hAnsi="仿宋" w:eastAsia="仿宋"/>
          <w:sz w:val="30"/>
          <w:szCs w:val="30"/>
        </w:rPr>
        <w:fldChar w:fldCharType="end"/>
      </w:r>
    </w:p>
    <w:p w14:paraId="0715EC92">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"_Toc195289351" </w:instrText>
      </w:r>
      <w:r>
        <w:fldChar w:fldCharType="separate"/>
      </w:r>
      <w:r>
        <w:rPr>
          <w:rStyle w:val="29"/>
          <w:rFonts w:ascii="仿宋" w:hAnsi="仿宋" w:eastAsia="仿宋" w:cs="楷体"/>
          <w:sz w:val="30"/>
          <w:szCs w:val="30"/>
          <w:lang w:val="en-US"/>
        </w:rPr>
        <w:t xml:space="preserve">6.4 </w:t>
      </w:r>
      <w:r>
        <w:rPr>
          <w:rStyle w:val="29"/>
          <w:rFonts w:hint="eastAsia" w:ascii="仿宋" w:hAnsi="仿宋" w:eastAsia="仿宋" w:cs="楷体"/>
          <w:sz w:val="30"/>
          <w:szCs w:val="30"/>
          <w:lang w:val="en-US"/>
        </w:rPr>
        <w:t>奖惩制度</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_Toc195289351 \h </w:instrText>
      </w:r>
      <w:r>
        <w:rPr>
          <w:rFonts w:ascii="仿宋" w:hAnsi="仿宋" w:eastAsia="仿宋"/>
          <w:sz w:val="30"/>
          <w:szCs w:val="30"/>
        </w:rPr>
        <w:fldChar w:fldCharType="separate"/>
      </w:r>
      <w:r>
        <w:rPr>
          <w:rFonts w:ascii="仿宋" w:hAnsi="仿宋" w:eastAsia="仿宋"/>
          <w:sz w:val="30"/>
          <w:szCs w:val="30"/>
        </w:rPr>
        <w:t>24</w:t>
      </w:r>
      <w:r>
        <w:rPr>
          <w:rFonts w:ascii="仿宋" w:hAnsi="仿宋" w:eastAsia="仿宋"/>
          <w:sz w:val="30"/>
          <w:szCs w:val="30"/>
        </w:rPr>
        <w:fldChar w:fldCharType="end"/>
      </w:r>
      <w:r>
        <w:rPr>
          <w:rFonts w:ascii="仿宋" w:hAnsi="仿宋" w:eastAsia="仿宋"/>
          <w:sz w:val="30"/>
          <w:szCs w:val="30"/>
        </w:rPr>
        <w:fldChar w:fldCharType="end"/>
      </w:r>
    </w:p>
    <w:p w14:paraId="6F2162B8">
      <w:pPr>
        <w:pStyle w:val="17"/>
        <w:tabs>
          <w:tab w:val="right" w:leader="dot" w:pos="8838"/>
        </w:tabs>
        <w:spacing w:line="460" w:lineRule="exact"/>
        <w:rPr>
          <w:rFonts w:ascii="仿宋" w:hAnsi="仿宋" w:eastAsia="仿宋" w:cstheme="minorBidi"/>
          <w:b w:val="0"/>
          <w:bCs w:val="0"/>
          <w:caps w:val="0"/>
          <w:kern w:val="2"/>
          <w:sz w:val="30"/>
          <w:szCs w:val="30"/>
          <w:lang w:val="en-US" w:bidi="ar-SA"/>
        </w:rPr>
      </w:pPr>
      <w:r>
        <w:fldChar w:fldCharType="begin"/>
      </w:r>
      <w:r>
        <w:instrText xml:space="preserve"> HYPERLINK \l "_Toc195289352" </w:instrText>
      </w:r>
      <w:r>
        <w:fldChar w:fldCharType="separate"/>
      </w:r>
      <w:r>
        <w:rPr>
          <w:rStyle w:val="29"/>
          <w:rFonts w:ascii="仿宋" w:hAnsi="仿宋" w:eastAsia="仿宋" w:cs="Times New Roman"/>
          <w:b w:val="0"/>
          <w:spacing w:val="-6"/>
          <w:sz w:val="32"/>
          <w:szCs w:val="30"/>
          <w:lang w:val="en-US"/>
        </w:rPr>
        <w:t xml:space="preserve">7 </w:t>
      </w:r>
      <w:r>
        <w:rPr>
          <w:rStyle w:val="29"/>
          <w:rFonts w:hint="eastAsia" w:ascii="仿宋" w:hAnsi="仿宋" w:eastAsia="仿宋" w:cs="Times New Roman"/>
          <w:b w:val="0"/>
          <w:spacing w:val="-6"/>
          <w:sz w:val="32"/>
          <w:szCs w:val="30"/>
          <w:lang w:val="en-US"/>
        </w:rPr>
        <w:t>应急保障</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_Toc195289352 \h </w:instrText>
      </w:r>
      <w:r>
        <w:rPr>
          <w:rFonts w:ascii="仿宋" w:hAnsi="仿宋" w:eastAsia="仿宋"/>
          <w:b w:val="0"/>
          <w:sz w:val="30"/>
          <w:szCs w:val="30"/>
        </w:rPr>
        <w:fldChar w:fldCharType="separate"/>
      </w:r>
      <w:r>
        <w:rPr>
          <w:rFonts w:ascii="仿宋" w:hAnsi="仿宋" w:eastAsia="仿宋"/>
          <w:b w:val="0"/>
          <w:sz w:val="30"/>
          <w:szCs w:val="30"/>
        </w:rPr>
        <w:t>24</w:t>
      </w:r>
      <w:r>
        <w:rPr>
          <w:rFonts w:ascii="仿宋" w:hAnsi="仿宋" w:eastAsia="仿宋"/>
          <w:b w:val="0"/>
          <w:sz w:val="30"/>
          <w:szCs w:val="30"/>
        </w:rPr>
        <w:fldChar w:fldCharType="end"/>
      </w:r>
      <w:r>
        <w:rPr>
          <w:rFonts w:ascii="仿宋" w:hAnsi="仿宋" w:eastAsia="仿宋"/>
          <w:b w:val="0"/>
          <w:sz w:val="30"/>
          <w:szCs w:val="30"/>
        </w:rPr>
        <w:fldChar w:fldCharType="end"/>
      </w:r>
    </w:p>
    <w:p w14:paraId="6ED52A32">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"_Toc195289353" </w:instrText>
      </w:r>
      <w:r>
        <w:fldChar w:fldCharType="separate"/>
      </w:r>
      <w:r>
        <w:rPr>
          <w:rStyle w:val="29"/>
          <w:rFonts w:ascii="仿宋" w:hAnsi="仿宋" w:eastAsia="仿宋" w:cs="楷体"/>
          <w:sz w:val="30"/>
          <w:szCs w:val="30"/>
          <w:lang w:val="en-US"/>
        </w:rPr>
        <w:t xml:space="preserve">7.1 </w:t>
      </w:r>
      <w:r>
        <w:rPr>
          <w:rStyle w:val="29"/>
          <w:rFonts w:hint="eastAsia" w:ascii="仿宋" w:hAnsi="仿宋" w:eastAsia="仿宋" w:cs="楷体"/>
          <w:sz w:val="30"/>
          <w:szCs w:val="30"/>
          <w:lang w:val="en-US"/>
        </w:rPr>
        <w:t>通信与信息保障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_Toc195289353 \h </w:instrText>
      </w:r>
      <w:r>
        <w:rPr>
          <w:rFonts w:ascii="仿宋" w:hAnsi="仿宋" w:eastAsia="仿宋"/>
          <w:sz w:val="30"/>
          <w:szCs w:val="30"/>
        </w:rPr>
        <w:fldChar w:fldCharType="separate"/>
      </w:r>
      <w:r>
        <w:rPr>
          <w:rFonts w:ascii="仿宋" w:hAnsi="仿宋" w:eastAsia="仿宋"/>
          <w:sz w:val="30"/>
          <w:szCs w:val="30"/>
        </w:rPr>
        <w:t>24</w:t>
      </w:r>
      <w:r>
        <w:rPr>
          <w:rFonts w:ascii="仿宋" w:hAnsi="仿宋" w:eastAsia="仿宋"/>
          <w:sz w:val="30"/>
          <w:szCs w:val="30"/>
        </w:rPr>
        <w:fldChar w:fldCharType="end"/>
      </w:r>
      <w:r>
        <w:rPr>
          <w:rFonts w:ascii="仿宋" w:hAnsi="仿宋" w:eastAsia="仿宋"/>
          <w:sz w:val="30"/>
          <w:szCs w:val="30"/>
        </w:rPr>
        <w:fldChar w:fldCharType="end"/>
      </w:r>
    </w:p>
    <w:p w14:paraId="02C0BC06">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"_Toc195289354" </w:instrText>
      </w:r>
      <w:r>
        <w:fldChar w:fldCharType="separate"/>
      </w:r>
      <w:r>
        <w:rPr>
          <w:rStyle w:val="29"/>
          <w:rFonts w:ascii="仿宋" w:hAnsi="仿宋" w:eastAsia="仿宋" w:cs="楷体"/>
          <w:sz w:val="30"/>
          <w:szCs w:val="30"/>
          <w:lang w:val="en-US"/>
        </w:rPr>
        <w:t xml:space="preserve">7.2 </w:t>
      </w:r>
      <w:r>
        <w:rPr>
          <w:rStyle w:val="29"/>
          <w:rFonts w:hint="eastAsia" w:ascii="仿宋" w:hAnsi="仿宋" w:eastAsia="仿宋" w:cs="楷体"/>
          <w:sz w:val="30"/>
          <w:szCs w:val="30"/>
          <w:lang w:val="en-US"/>
        </w:rPr>
        <w:t>应急救援队伍保障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_Toc195289354 \h </w:instrText>
      </w:r>
      <w:r>
        <w:rPr>
          <w:rFonts w:ascii="仿宋" w:hAnsi="仿宋" w:eastAsia="仿宋"/>
          <w:sz w:val="30"/>
          <w:szCs w:val="30"/>
        </w:rPr>
        <w:fldChar w:fldCharType="separate"/>
      </w:r>
      <w:r>
        <w:rPr>
          <w:rFonts w:ascii="仿宋" w:hAnsi="仿宋" w:eastAsia="仿宋"/>
          <w:sz w:val="30"/>
          <w:szCs w:val="30"/>
        </w:rPr>
        <w:t>24</w:t>
      </w:r>
      <w:r>
        <w:rPr>
          <w:rFonts w:ascii="仿宋" w:hAnsi="仿宋" w:eastAsia="仿宋"/>
          <w:sz w:val="30"/>
          <w:szCs w:val="30"/>
        </w:rPr>
        <w:fldChar w:fldCharType="end"/>
      </w:r>
      <w:r>
        <w:rPr>
          <w:rFonts w:ascii="仿宋" w:hAnsi="仿宋" w:eastAsia="仿宋"/>
          <w:sz w:val="30"/>
          <w:szCs w:val="30"/>
        </w:rPr>
        <w:fldChar w:fldCharType="end"/>
      </w:r>
    </w:p>
    <w:p w14:paraId="36F9EF66">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"_Toc195289355" </w:instrText>
      </w:r>
      <w:r>
        <w:fldChar w:fldCharType="separate"/>
      </w:r>
      <w:r>
        <w:rPr>
          <w:rStyle w:val="29"/>
          <w:rFonts w:ascii="仿宋" w:hAnsi="仿宋" w:eastAsia="仿宋" w:cs="楷体"/>
          <w:sz w:val="30"/>
          <w:szCs w:val="30"/>
          <w:lang w:val="en-US"/>
        </w:rPr>
        <w:t xml:space="preserve">7.3 </w:t>
      </w:r>
      <w:r>
        <w:rPr>
          <w:rStyle w:val="29"/>
          <w:rFonts w:hint="eastAsia" w:ascii="仿宋" w:hAnsi="仿宋" w:eastAsia="仿宋" w:cs="楷体"/>
          <w:sz w:val="30"/>
          <w:szCs w:val="30"/>
          <w:lang w:val="en-US"/>
        </w:rPr>
        <w:t>应急物资及装备保障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_Toc195289355 \h </w:instrText>
      </w:r>
      <w:r>
        <w:rPr>
          <w:rFonts w:ascii="仿宋" w:hAnsi="仿宋" w:eastAsia="仿宋"/>
          <w:sz w:val="30"/>
          <w:szCs w:val="30"/>
        </w:rPr>
        <w:fldChar w:fldCharType="separate"/>
      </w:r>
      <w:r>
        <w:rPr>
          <w:rFonts w:ascii="仿宋" w:hAnsi="仿宋" w:eastAsia="仿宋"/>
          <w:sz w:val="30"/>
          <w:szCs w:val="30"/>
        </w:rPr>
        <w:t>24</w:t>
      </w:r>
      <w:r>
        <w:rPr>
          <w:rFonts w:ascii="仿宋" w:hAnsi="仿宋" w:eastAsia="仿宋"/>
          <w:sz w:val="30"/>
          <w:szCs w:val="30"/>
        </w:rPr>
        <w:fldChar w:fldCharType="end"/>
      </w:r>
      <w:r>
        <w:rPr>
          <w:rFonts w:ascii="仿宋" w:hAnsi="仿宋" w:eastAsia="仿宋"/>
          <w:sz w:val="30"/>
          <w:szCs w:val="30"/>
        </w:rPr>
        <w:fldChar w:fldCharType="end"/>
      </w:r>
    </w:p>
    <w:p w14:paraId="2D61DEE5">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"_Toc195289356" </w:instrText>
      </w:r>
      <w:r>
        <w:fldChar w:fldCharType="separate"/>
      </w:r>
      <w:r>
        <w:rPr>
          <w:rStyle w:val="29"/>
          <w:rFonts w:ascii="仿宋" w:hAnsi="仿宋" w:eastAsia="仿宋" w:cs="楷体"/>
          <w:sz w:val="30"/>
          <w:szCs w:val="30"/>
          <w:lang w:val="en-US"/>
        </w:rPr>
        <w:t xml:space="preserve">7.4 </w:t>
      </w:r>
      <w:r>
        <w:rPr>
          <w:rStyle w:val="29"/>
          <w:rFonts w:hint="eastAsia" w:ascii="仿宋" w:hAnsi="仿宋" w:eastAsia="仿宋" w:cs="楷体"/>
          <w:sz w:val="30"/>
          <w:szCs w:val="30"/>
          <w:lang w:val="en-US"/>
        </w:rPr>
        <w:t>交通运输保障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_Toc195289356 \h </w:instrText>
      </w:r>
      <w:r>
        <w:rPr>
          <w:rFonts w:ascii="仿宋" w:hAnsi="仿宋" w:eastAsia="仿宋"/>
          <w:sz w:val="30"/>
          <w:szCs w:val="30"/>
        </w:rPr>
        <w:fldChar w:fldCharType="separate"/>
      </w:r>
      <w:r>
        <w:rPr>
          <w:rFonts w:ascii="仿宋" w:hAnsi="仿宋" w:eastAsia="仿宋"/>
          <w:sz w:val="30"/>
          <w:szCs w:val="30"/>
        </w:rPr>
        <w:t>25</w:t>
      </w:r>
      <w:r>
        <w:rPr>
          <w:rFonts w:ascii="仿宋" w:hAnsi="仿宋" w:eastAsia="仿宋"/>
          <w:sz w:val="30"/>
          <w:szCs w:val="30"/>
        </w:rPr>
        <w:fldChar w:fldCharType="end"/>
      </w:r>
      <w:r>
        <w:rPr>
          <w:rFonts w:ascii="仿宋" w:hAnsi="仿宋" w:eastAsia="仿宋"/>
          <w:sz w:val="30"/>
          <w:szCs w:val="30"/>
        </w:rPr>
        <w:fldChar w:fldCharType="end"/>
      </w:r>
    </w:p>
    <w:p w14:paraId="1EB0C292">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"_Toc195289357" </w:instrText>
      </w:r>
      <w:r>
        <w:fldChar w:fldCharType="separate"/>
      </w:r>
      <w:r>
        <w:rPr>
          <w:rStyle w:val="29"/>
          <w:rFonts w:ascii="仿宋" w:hAnsi="仿宋" w:eastAsia="仿宋" w:cs="楷体"/>
          <w:sz w:val="30"/>
          <w:szCs w:val="30"/>
          <w:lang w:val="en-US"/>
        </w:rPr>
        <w:t xml:space="preserve">7.5 </w:t>
      </w:r>
      <w:r>
        <w:rPr>
          <w:rStyle w:val="29"/>
          <w:rFonts w:hint="eastAsia" w:ascii="仿宋" w:hAnsi="仿宋" w:eastAsia="仿宋" w:cs="楷体"/>
          <w:sz w:val="30"/>
          <w:szCs w:val="30"/>
          <w:lang w:val="en-US"/>
        </w:rPr>
        <w:t>医疗卫生保障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_Toc195289357 \h </w:instrText>
      </w:r>
      <w:r>
        <w:rPr>
          <w:rFonts w:ascii="仿宋" w:hAnsi="仿宋" w:eastAsia="仿宋"/>
          <w:sz w:val="30"/>
          <w:szCs w:val="30"/>
        </w:rPr>
        <w:fldChar w:fldCharType="separate"/>
      </w:r>
      <w:r>
        <w:rPr>
          <w:rFonts w:ascii="仿宋" w:hAnsi="仿宋" w:eastAsia="仿宋"/>
          <w:sz w:val="30"/>
          <w:szCs w:val="30"/>
        </w:rPr>
        <w:t>25</w:t>
      </w:r>
      <w:r>
        <w:rPr>
          <w:rFonts w:ascii="仿宋" w:hAnsi="仿宋" w:eastAsia="仿宋"/>
          <w:sz w:val="30"/>
          <w:szCs w:val="30"/>
        </w:rPr>
        <w:fldChar w:fldCharType="end"/>
      </w:r>
      <w:r>
        <w:rPr>
          <w:rFonts w:ascii="仿宋" w:hAnsi="仿宋" w:eastAsia="仿宋"/>
          <w:sz w:val="30"/>
          <w:szCs w:val="30"/>
        </w:rPr>
        <w:fldChar w:fldCharType="end"/>
      </w:r>
    </w:p>
    <w:p w14:paraId="7E252A89">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"_Toc195289358" </w:instrText>
      </w:r>
      <w:r>
        <w:fldChar w:fldCharType="separate"/>
      </w:r>
      <w:r>
        <w:rPr>
          <w:rStyle w:val="29"/>
          <w:rFonts w:ascii="仿宋" w:hAnsi="仿宋" w:eastAsia="仿宋" w:cs="楷体"/>
          <w:sz w:val="30"/>
          <w:szCs w:val="30"/>
          <w:lang w:val="en-US"/>
        </w:rPr>
        <w:t xml:space="preserve">7.6 </w:t>
      </w:r>
      <w:r>
        <w:rPr>
          <w:rStyle w:val="29"/>
          <w:rFonts w:hint="eastAsia" w:ascii="仿宋" w:hAnsi="仿宋" w:eastAsia="仿宋" w:cs="楷体"/>
          <w:sz w:val="30"/>
          <w:szCs w:val="30"/>
          <w:lang w:val="en-US"/>
        </w:rPr>
        <w:t>治安保障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_Toc195289358 \h </w:instrText>
      </w:r>
      <w:r>
        <w:rPr>
          <w:rFonts w:ascii="仿宋" w:hAnsi="仿宋" w:eastAsia="仿宋"/>
          <w:sz w:val="30"/>
          <w:szCs w:val="30"/>
        </w:rPr>
        <w:fldChar w:fldCharType="separate"/>
      </w:r>
      <w:r>
        <w:rPr>
          <w:rFonts w:ascii="仿宋" w:hAnsi="仿宋" w:eastAsia="仿宋"/>
          <w:sz w:val="30"/>
          <w:szCs w:val="30"/>
        </w:rPr>
        <w:t>25</w:t>
      </w:r>
      <w:r>
        <w:rPr>
          <w:rFonts w:ascii="仿宋" w:hAnsi="仿宋" w:eastAsia="仿宋"/>
          <w:sz w:val="30"/>
          <w:szCs w:val="30"/>
        </w:rPr>
        <w:fldChar w:fldCharType="end"/>
      </w:r>
      <w:r>
        <w:rPr>
          <w:rFonts w:ascii="仿宋" w:hAnsi="仿宋" w:eastAsia="仿宋"/>
          <w:sz w:val="30"/>
          <w:szCs w:val="30"/>
        </w:rPr>
        <w:fldChar w:fldCharType="end"/>
      </w:r>
    </w:p>
    <w:p w14:paraId="72DDBF41">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"_Toc195289359" </w:instrText>
      </w:r>
      <w:r>
        <w:fldChar w:fldCharType="separate"/>
      </w:r>
      <w:r>
        <w:rPr>
          <w:rStyle w:val="29"/>
          <w:rFonts w:ascii="仿宋" w:hAnsi="仿宋" w:eastAsia="仿宋" w:cs="楷体"/>
          <w:sz w:val="30"/>
          <w:szCs w:val="30"/>
          <w:lang w:val="en-US"/>
        </w:rPr>
        <w:t xml:space="preserve">7.7 </w:t>
      </w:r>
      <w:r>
        <w:rPr>
          <w:rStyle w:val="29"/>
          <w:rFonts w:hint="eastAsia" w:ascii="仿宋" w:hAnsi="仿宋" w:eastAsia="仿宋" w:cs="楷体"/>
          <w:sz w:val="30"/>
          <w:szCs w:val="30"/>
          <w:lang w:val="en-US"/>
        </w:rPr>
        <w:t>物资保障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_Toc195289359 \h </w:instrText>
      </w:r>
      <w:r>
        <w:rPr>
          <w:rFonts w:ascii="仿宋" w:hAnsi="仿宋" w:eastAsia="仿宋"/>
          <w:sz w:val="30"/>
          <w:szCs w:val="30"/>
        </w:rPr>
        <w:fldChar w:fldCharType="separate"/>
      </w:r>
      <w:r>
        <w:rPr>
          <w:rFonts w:ascii="仿宋" w:hAnsi="仿宋" w:eastAsia="仿宋"/>
          <w:sz w:val="30"/>
          <w:szCs w:val="30"/>
        </w:rPr>
        <w:t>25</w:t>
      </w:r>
      <w:r>
        <w:rPr>
          <w:rFonts w:ascii="仿宋" w:hAnsi="仿宋" w:eastAsia="仿宋"/>
          <w:sz w:val="30"/>
          <w:szCs w:val="30"/>
        </w:rPr>
        <w:fldChar w:fldCharType="end"/>
      </w:r>
      <w:r>
        <w:rPr>
          <w:rFonts w:ascii="仿宋" w:hAnsi="仿宋" w:eastAsia="仿宋"/>
          <w:sz w:val="30"/>
          <w:szCs w:val="30"/>
        </w:rPr>
        <w:fldChar w:fldCharType="end"/>
      </w:r>
    </w:p>
    <w:p w14:paraId="3FFF199F">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"_Toc195289360" </w:instrText>
      </w:r>
      <w:r>
        <w:fldChar w:fldCharType="separate"/>
      </w:r>
      <w:r>
        <w:rPr>
          <w:rStyle w:val="29"/>
          <w:rFonts w:ascii="仿宋" w:hAnsi="仿宋" w:eastAsia="仿宋" w:cs="楷体"/>
          <w:sz w:val="30"/>
          <w:szCs w:val="30"/>
          <w:lang w:val="en-US"/>
        </w:rPr>
        <w:t xml:space="preserve">7.8 </w:t>
      </w:r>
      <w:r>
        <w:rPr>
          <w:rStyle w:val="29"/>
          <w:rFonts w:hint="eastAsia" w:ascii="仿宋" w:hAnsi="仿宋" w:eastAsia="仿宋" w:cs="楷体"/>
          <w:sz w:val="30"/>
          <w:szCs w:val="30"/>
          <w:lang w:val="en-US"/>
        </w:rPr>
        <w:t>技术保障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_Toc195289360 \h </w:instrText>
      </w:r>
      <w:r>
        <w:rPr>
          <w:rFonts w:ascii="仿宋" w:hAnsi="仿宋" w:eastAsia="仿宋"/>
          <w:sz w:val="30"/>
          <w:szCs w:val="30"/>
        </w:rPr>
        <w:fldChar w:fldCharType="separate"/>
      </w:r>
      <w:r>
        <w:rPr>
          <w:rFonts w:ascii="仿宋" w:hAnsi="仿宋" w:eastAsia="仿宋"/>
          <w:sz w:val="30"/>
          <w:szCs w:val="30"/>
        </w:rPr>
        <w:t>25</w:t>
      </w:r>
      <w:r>
        <w:rPr>
          <w:rFonts w:ascii="仿宋" w:hAnsi="仿宋" w:eastAsia="仿宋"/>
          <w:sz w:val="30"/>
          <w:szCs w:val="30"/>
        </w:rPr>
        <w:fldChar w:fldCharType="end"/>
      </w:r>
      <w:r>
        <w:rPr>
          <w:rFonts w:ascii="仿宋" w:hAnsi="仿宋" w:eastAsia="仿宋"/>
          <w:sz w:val="30"/>
          <w:szCs w:val="30"/>
        </w:rPr>
        <w:fldChar w:fldCharType="end"/>
      </w:r>
    </w:p>
    <w:p w14:paraId="3886D017">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"_Toc195289361" </w:instrText>
      </w:r>
      <w:r>
        <w:fldChar w:fldCharType="separate"/>
      </w:r>
      <w:r>
        <w:rPr>
          <w:rStyle w:val="29"/>
          <w:rFonts w:ascii="仿宋" w:hAnsi="仿宋" w:eastAsia="仿宋" w:cs="楷体"/>
          <w:sz w:val="30"/>
          <w:szCs w:val="30"/>
          <w:lang w:val="en-US"/>
        </w:rPr>
        <w:t xml:space="preserve">7.9 </w:t>
      </w:r>
      <w:r>
        <w:rPr>
          <w:rStyle w:val="29"/>
          <w:rFonts w:hint="eastAsia" w:ascii="仿宋" w:hAnsi="仿宋" w:eastAsia="仿宋" w:cs="楷体"/>
          <w:sz w:val="30"/>
          <w:szCs w:val="30"/>
          <w:lang w:val="en-US"/>
        </w:rPr>
        <w:t>医疗保障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_Toc195289361 \h </w:instrText>
      </w:r>
      <w:r>
        <w:rPr>
          <w:rFonts w:ascii="仿宋" w:hAnsi="仿宋" w:eastAsia="仿宋"/>
          <w:sz w:val="30"/>
          <w:szCs w:val="30"/>
        </w:rPr>
        <w:fldChar w:fldCharType="separate"/>
      </w:r>
      <w:r>
        <w:rPr>
          <w:rFonts w:ascii="仿宋" w:hAnsi="仿宋" w:eastAsia="仿宋"/>
          <w:sz w:val="30"/>
          <w:szCs w:val="30"/>
        </w:rPr>
        <w:t>26</w:t>
      </w:r>
      <w:r>
        <w:rPr>
          <w:rFonts w:ascii="仿宋" w:hAnsi="仿宋" w:eastAsia="仿宋"/>
          <w:sz w:val="30"/>
          <w:szCs w:val="30"/>
        </w:rPr>
        <w:fldChar w:fldCharType="end"/>
      </w:r>
      <w:r>
        <w:rPr>
          <w:rFonts w:ascii="仿宋" w:hAnsi="仿宋" w:eastAsia="仿宋"/>
          <w:sz w:val="30"/>
          <w:szCs w:val="30"/>
        </w:rPr>
        <w:fldChar w:fldCharType="end"/>
      </w:r>
    </w:p>
    <w:p w14:paraId="26E9C857">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"_Toc195289362" </w:instrText>
      </w:r>
      <w:r>
        <w:fldChar w:fldCharType="separate"/>
      </w:r>
      <w:r>
        <w:rPr>
          <w:rStyle w:val="29"/>
          <w:rFonts w:ascii="仿宋" w:hAnsi="仿宋" w:eastAsia="仿宋" w:cs="楷体"/>
          <w:sz w:val="30"/>
          <w:szCs w:val="30"/>
          <w:lang w:val="en-US"/>
        </w:rPr>
        <w:t xml:space="preserve">7.10 </w:t>
      </w:r>
      <w:r>
        <w:rPr>
          <w:rStyle w:val="29"/>
          <w:rFonts w:hint="eastAsia" w:ascii="仿宋" w:hAnsi="仿宋" w:eastAsia="仿宋" w:cs="楷体"/>
          <w:sz w:val="30"/>
          <w:szCs w:val="30"/>
          <w:lang w:val="en-US"/>
        </w:rPr>
        <w:t>资金保障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_Toc195289362 \h </w:instrText>
      </w:r>
      <w:r>
        <w:rPr>
          <w:rFonts w:ascii="仿宋" w:hAnsi="仿宋" w:eastAsia="仿宋"/>
          <w:sz w:val="30"/>
          <w:szCs w:val="30"/>
        </w:rPr>
        <w:fldChar w:fldCharType="separate"/>
      </w:r>
      <w:r>
        <w:rPr>
          <w:rFonts w:ascii="仿宋" w:hAnsi="仿宋" w:eastAsia="仿宋"/>
          <w:sz w:val="30"/>
          <w:szCs w:val="30"/>
        </w:rPr>
        <w:t>26</w:t>
      </w:r>
      <w:r>
        <w:rPr>
          <w:rFonts w:ascii="仿宋" w:hAnsi="仿宋" w:eastAsia="仿宋"/>
          <w:sz w:val="30"/>
          <w:szCs w:val="30"/>
        </w:rPr>
        <w:fldChar w:fldCharType="end"/>
      </w:r>
      <w:r>
        <w:rPr>
          <w:rFonts w:ascii="仿宋" w:hAnsi="仿宋" w:eastAsia="仿宋"/>
          <w:sz w:val="30"/>
          <w:szCs w:val="30"/>
        </w:rPr>
        <w:fldChar w:fldCharType="end"/>
      </w:r>
    </w:p>
    <w:p w14:paraId="71B77E1B">
      <w:pPr>
        <w:pStyle w:val="17"/>
        <w:tabs>
          <w:tab w:val="right" w:leader="dot" w:pos="8838"/>
        </w:tabs>
        <w:spacing w:line="460" w:lineRule="exact"/>
        <w:rPr>
          <w:rFonts w:ascii="仿宋" w:hAnsi="仿宋" w:eastAsia="仿宋" w:cstheme="minorBidi"/>
          <w:b w:val="0"/>
          <w:bCs w:val="0"/>
          <w:caps w:val="0"/>
          <w:kern w:val="2"/>
          <w:sz w:val="30"/>
          <w:szCs w:val="30"/>
          <w:lang w:val="en-US" w:bidi="ar-SA"/>
        </w:rPr>
      </w:pPr>
      <w:r>
        <w:fldChar w:fldCharType="begin"/>
      </w:r>
      <w:r>
        <w:instrText xml:space="preserve"> HYPERLINK \l "_Toc195289363" </w:instrText>
      </w:r>
      <w:r>
        <w:fldChar w:fldCharType="separate"/>
      </w:r>
      <w:r>
        <w:rPr>
          <w:rStyle w:val="29"/>
          <w:rFonts w:ascii="仿宋" w:hAnsi="仿宋" w:eastAsia="仿宋" w:cs="Times New Roman"/>
          <w:b w:val="0"/>
          <w:spacing w:val="-6"/>
          <w:sz w:val="32"/>
          <w:szCs w:val="30"/>
          <w:lang w:val="en-US"/>
        </w:rPr>
        <w:t xml:space="preserve">8 </w:t>
      </w:r>
      <w:r>
        <w:rPr>
          <w:rStyle w:val="29"/>
          <w:rFonts w:hint="eastAsia" w:ascii="仿宋" w:hAnsi="仿宋" w:eastAsia="仿宋" w:cs="Times New Roman"/>
          <w:b w:val="0"/>
          <w:spacing w:val="-6"/>
          <w:sz w:val="32"/>
          <w:szCs w:val="30"/>
          <w:lang w:val="en-US"/>
        </w:rPr>
        <w:t>预案管理</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_Toc195289363 \h </w:instrText>
      </w:r>
      <w:r>
        <w:rPr>
          <w:rFonts w:ascii="仿宋" w:hAnsi="仿宋" w:eastAsia="仿宋"/>
          <w:b w:val="0"/>
          <w:sz w:val="30"/>
          <w:szCs w:val="30"/>
        </w:rPr>
        <w:fldChar w:fldCharType="separate"/>
      </w:r>
      <w:r>
        <w:rPr>
          <w:rFonts w:ascii="仿宋" w:hAnsi="仿宋" w:eastAsia="仿宋"/>
          <w:b w:val="0"/>
          <w:sz w:val="30"/>
          <w:szCs w:val="30"/>
        </w:rPr>
        <w:t>26</w:t>
      </w:r>
      <w:r>
        <w:rPr>
          <w:rFonts w:ascii="仿宋" w:hAnsi="仿宋" w:eastAsia="仿宋"/>
          <w:b w:val="0"/>
          <w:sz w:val="30"/>
          <w:szCs w:val="30"/>
        </w:rPr>
        <w:fldChar w:fldCharType="end"/>
      </w:r>
      <w:r>
        <w:rPr>
          <w:rFonts w:ascii="仿宋" w:hAnsi="仿宋" w:eastAsia="仿宋"/>
          <w:b w:val="0"/>
          <w:sz w:val="30"/>
          <w:szCs w:val="30"/>
        </w:rPr>
        <w:fldChar w:fldCharType="end"/>
      </w:r>
    </w:p>
    <w:p w14:paraId="276DBD1C">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"_Toc195289364" </w:instrText>
      </w:r>
      <w:r>
        <w:fldChar w:fldCharType="separate"/>
      </w:r>
      <w:r>
        <w:rPr>
          <w:rStyle w:val="29"/>
          <w:rFonts w:ascii="仿宋" w:hAnsi="仿宋" w:eastAsia="仿宋" w:cs="楷体"/>
          <w:sz w:val="30"/>
          <w:szCs w:val="30"/>
          <w:lang w:val="en-US"/>
        </w:rPr>
        <w:t xml:space="preserve">8.1 </w:t>
      </w:r>
      <w:r>
        <w:rPr>
          <w:rStyle w:val="29"/>
          <w:rFonts w:hint="eastAsia" w:ascii="仿宋" w:hAnsi="仿宋" w:eastAsia="仿宋" w:cs="楷体"/>
          <w:sz w:val="30"/>
          <w:szCs w:val="30"/>
          <w:lang w:val="en-US"/>
        </w:rPr>
        <w:t>应急演练</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_Toc195289364 \h </w:instrText>
      </w:r>
      <w:r>
        <w:rPr>
          <w:rFonts w:ascii="仿宋" w:hAnsi="仿宋" w:eastAsia="仿宋"/>
          <w:sz w:val="30"/>
          <w:szCs w:val="30"/>
        </w:rPr>
        <w:fldChar w:fldCharType="separate"/>
      </w:r>
      <w:r>
        <w:rPr>
          <w:rFonts w:ascii="仿宋" w:hAnsi="仿宋" w:eastAsia="仿宋"/>
          <w:sz w:val="30"/>
          <w:szCs w:val="30"/>
        </w:rPr>
        <w:t>26</w:t>
      </w:r>
      <w:r>
        <w:rPr>
          <w:rFonts w:ascii="仿宋" w:hAnsi="仿宋" w:eastAsia="仿宋"/>
          <w:sz w:val="30"/>
          <w:szCs w:val="30"/>
        </w:rPr>
        <w:fldChar w:fldCharType="end"/>
      </w:r>
      <w:r>
        <w:rPr>
          <w:rFonts w:ascii="仿宋" w:hAnsi="仿宋" w:eastAsia="仿宋"/>
          <w:sz w:val="30"/>
          <w:szCs w:val="30"/>
        </w:rPr>
        <w:fldChar w:fldCharType="end"/>
      </w:r>
    </w:p>
    <w:p w14:paraId="37FC92D8">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"_Toc195289365" </w:instrText>
      </w:r>
      <w:r>
        <w:fldChar w:fldCharType="separate"/>
      </w:r>
      <w:r>
        <w:rPr>
          <w:rStyle w:val="29"/>
          <w:rFonts w:ascii="仿宋" w:hAnsi="仿宋" w:eastAsia="仿宋" w:cs="楷体"/>
          <w:sz w:val="30"/>
          <w:szCs w:val="30"/>
          <w:lang w:val="en-US"/>
        </w:rPr>
        <w:t xml:space="preserve">8.2 </w:t>
      </w:r>
      <w:r>
        <w:rPr>
          <w:rStyle w:val="29"/>
          <w:rFonts w:hint="eastAsia" w:ascii="仿宋" w:hAnsi="仿宋" w:eastAsia="仿宋" w:cs="楷体"/>
          <w:sz w:val="30"/>
          <w:szCs w:val="30"/>
          <w:lang w:val="en-US"/>
        </w:rPr>
        <w:t>宣传培训</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_Toc195289365 \h </w:instrText>
      </w:r>
      <w:r>
        <w:rPr>
          <w:rFonts w:ascii="仿宋" w:hAnsi="仿宋" w:eastAsia="仿宋"/>
          <w:sz w:val="30"/>
          <w:szCs w:val="30"/>
        </w:rPr>
        <w:fldChar w:fldCharType="separate"/>
      </w:r>
      <w:r>
        <w:rPr>
          <w:rFonts w:ascii="仿宋" w:hAnsi="仿宋" w:eastAsia="仿宋"/>
          <w:sz w:val="30"/>
          <w:szCs w:val="30"/>
        </w:rPr>
        <w:t>26</w:t>
      </w:r>
      <w:r>
        <w:rPr>
          <w:rFonts w:ascii="仿宋" w:hAnsi="仿宋" w:eastAsia="仿宋"/>
          <w:sz w:val="30"/>
          <w:szCs w:val="30"/>
        </w:rPr>
        <w:fldChar w:fldCharType="end"/>
      </w:r>
      <w:r>
        <w:rPr>
          <w:rFonts w:ascii="仿宋" w:hAnsi="仿宋" w:eastAsia="仿宋"/>
          <w:sz w:val="30"/>
          <w:szCs w:val="30"/>
        </w:rPr>
        <w:fldChar w:fldCharType="end"/>
      </w:r>
    </w:p>
    <w:p w14:paraId="6F9A40BB">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"_Toc195289366" </w:instrText>
      </w:r>
      <w:r>
        <w:fldChar w:fldCharType="separate"/>
      </w:r>
      <w:r>
        <w:rPr>
          <w:rStyle w:val="29"/>
          <w:rFonts w:ascii="仿宋" w:hAnsi="仿宋" w:eastAsia="仿宋" w:cs="楷体"/>
          <w:sz w:val="30"/>
          <w:szCs w:val="30"/>
          <w:lang w:val="en-US"/>
        </w:rPr>
        <w:t xml:space="preserve">8.3 </w:t>
      </w:r>
      <w:r>
        <w:rPr>
          <w:rStyle w:val="29"/>
          <w:rFonts w:hint="eastAsia" w:ascii="仿宋" w:hAnsi="仿宋" w:eastAsia="仿宋" w:cs="楷体"/>
          <w:sz w:val="30"/>
          <w:szCs w:val="30"/>
          <w:lang w:val="en-US"/>
        </w:rPr>
        <w:t>预案修订</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_Toc195289366 \h </w:instrText>
      </w:r>
      <w:r>
        <w:rPr>
          <w:rFonts w:ascii="仿宋" w:hAnsi="仿宋" w:eastAsia="仿宋"/>
          <w:sz w:val="30"/>
          <w:szCs w:val="30"/>
        </w:rPr>
        <w:fldChar w:fldCharType="separate"/>
      </w:r>
      <w:r>
        <w:rPr>
          <w:rFonts w:ascii="仿宋" w:hAnsi="仿宋" w:eastAsia="仿宋"/>
          <w:sz w:val="30"/>
          <w:szCs w:val="30"/>
        </w:rPr>
        <w:t>27</w:t>
      </w:r>
      <w:r>
        <w:rPr>
          <w:rFonts w:ascii="仿宋" w:hAnsi="仿宋" w:eastAsia="仿宋"/>
          <w:sz w:val="30"/>
          <w:szCs w:val="30"/>
        </w:rPr>
        <w:fldChar w:fldCharType="end"/>
      </w:r>
      <w:r>
        <w:rPr>
          <w:rFonts w:ascii="仿宋" w:hAnsi="仿宋" w:eastAsia="仿宋"/>
          <w:sz w:val="30"/>
          <w:szCs w:val="30"/>
        </w:rPr>
        <w:fldChar w:fldCharType="end"/>
      </w:r>
    </w:p>
    <w:p w14:paraId="0BB24517">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"_Toc195289367" </w:instrText>
      </w:r>
      <w:r>
        <w:fldChar w:fldCharType="separate"/>
      </w:r>
      <w:r>
        <w:rPr>
          <w:rStyle w:val="29"/>
          <w:rFonts w:ascii="仿宋" w:hAnsi="仿宋" w:eastAsia="仿宋" w:cs="楷体"/>
          <w:sz w:val="30"/>
          <w:szCs w:val="30"/>
          <w:lang w:val="en-US"/>
        </w:rPr>
        <w:t xml:space="preserve">8.4 </w:t>
      </w:r>
      <w:r>
        <w:rPr>
          <w:rStyle w:val="29"/>
          <w:rFonts w:hint="eastAsia" w:ascii="仿宋" w:hAnsi="仿宋" w:eastAsia="仿宋" w:cs="楷体"/>
          <w:sz w:val="30"/>
          <w:szCs w:val="30"/>
          <w:lang w:val="en-US"/>
        </w:rPr>
        <w:t>应急预案备案、实施</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_Toc195289367 \h </w:instrText>
      </w:r>
      <w:r>
        <w:rPr>
          <w:rFonts w:ascii="仿宋" w:hAnsi="仿宋" w:eastAsia="仿宋"/>
          <w:sz w:val="30"/>
          <w:szCs w:val="30"/>
        </w:rPr>
        <w:fldChar w:fldCharType="separate"/>
      </w:r>
      <w:r>
        <w:rPr>
          <w:rFonts w:ascii="仿宋" w:hAnsi="仿宋" w:eastAsia="仿宋"/>
          <w:sz w:val="30"/>
          <w:szCs w:val="30"/>
        </w:rPr>
        <w:t>28</w:t>
      </w:r>
      <w:r>
        <w:rPr>
          <w:rFonts w:ascii="仿宋" w:hAnsi="仿宋" w:eastAsia="仿宋"/>
          <w:sz w:val="30"/>
          <w:szCs w:val="30"/>
        </w:rPr>
        <w:fldChar w:fldCharType="end"/>
      </w:r>
      <w:r>
        <w:rPr>
          <w:rFonts w:ascii="仿宋" w:hAnsi="仿宋" w:eastAsia="仿宋"/>
          <w:sz w:val="30"/>
          <w:szCs w:val="30"/>
        </w:rPr>
        <w:fldChar w:fldCharType="end"/>
      </w:r>
    </w:p>
    <w:p w14:paraId="51114045">
      <w:pPr>
        <w:pStyle w:val="20"/>
        <w:tabs>
          <w:tab w:val="right" w:leader="dot" w:pos="8838"/>
        </w:tabs>
        <w:spacing w:line="460" w:lineRule="exact"/>
        <w:ind w:left="0" w:firstLine="400" w:firstLineChars="200"/>
        <w:rPr>
          <w:rFonts w:ascii="仿宋" w:hAnsi="仿宋" w:eastAsia="仿宋" w:cstheme="minorBidi"/>
          <w:smallCaps w:val="0"/>
          <w:kern w:val="2"/>
          <w:sz w:val="30"/>
          <w:szCs w:val="30"/>
          <w:lang w:val="en-US" w:bidi="ar-SA"/>
        </w:rPr>
      </w:pPr>
      <w:r>
        <w:fldChar w:fldCharType="begin"/>
      </w:r>
      <w:r>
        <w:instrText xml:space="preserve"> HYPERLINK \l "_Toc195289368" </w:instrText>
      </w:r>
      <w:r>
        <w:fldChar w:fldCharType="separate"/>
      </w:r>
      <w:r>
        <w:rPr>
          <w:rStyle w:val="29"/>
          <w:rFonts w:ascii="仿宋" w:hAnsi="仿宋" w:eastAsia="仿宋" w:cs="楷体"/>
          <w:sz w:val="30"/>
          <w:szCs w:val="30"/>
          <w:lang w:val="en-US"/>
        </w:rPr>
        <w:t xml:space="preserve">8.5 </w:t>
      </w:r>
      <w:r>
        <w:rPr>
          <w:rStyle w:val="29"/>
          <w:rFonts w:hint="eastAsia" w:ascii="仿宋" w:hAnsi="仿宋" w:eastAsia="仿宋" w:cs="楷体"/>
          <w:sz w:val="30"/>
          <w:szCs w:val="30"/>
          <w:lang w:val="en-US"/>
        </w:rPr>
        <w:t>制定与解释</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_Toc195289368 \h </w:instrText>
      </w:r>
      <w:r>
        <w:rPr>
          <w:rFonts w:ascii="仿宋" w:hAnsi="仿宋" w:eastAsia="仿宋"/>
          <w:sz w:val="30"/>
          <w:szCs w:val="30"/>
        </w:rPr>
        <w:fldChar w:fldCharType="separate"/>
      </w:r>
      <w:r>
        <w:rPr>
          <w:rFonts w:ascii="仿宋" w:hAnsi="仿宋" w:eastAsia="仿宋"/>
          <w:sz w:val="30"/>
          <w:szCs w:val="30"/>
        </w:rPr>
        <w:t>28</w:t>
      </w:r>
      <w:r>
        <w:rPr>
          <w:rFonts w:ascii="仿宋" w:hAnsi="仿宋" w:eastAsia="仿宋"/>
          <w:sz w:val="30"/>
          <w:szCs w:val="30"/>
        </w:rPr>
        <w:fldChar w:fldCharType="end"/>
      </w:r>
      <w:r>
        <w:rPr>
          <w:rFonts w:ascii="仿宋" w:hAnsi="仿宋" w:eastAsia="仿宋"/>
          <w:sz w:val="30"/>
          <w:szCs w:val="30"/>
        </w:rPr>
        <w:fldChar w:fldCharType="end"/>
      </w:r>
    </w:p>
    <w:p w14:paraId="4E7EE4E0">
      <w:pPr>
        <w:pStyle w:val="17"/>
        <w:tabs>
          <w:tab w:val="right" w:leader="dot" w:pos="9302"/>
        </w:tabs>
        <w:spacing w:before="0" w:line="460" w:lineRule="exact"/>
        <w:ind w:left="110" w:leftChars="50"/>
        <w:jc w:val="center"/>
        <w:rPr>
          <w:rFonts w:ascii="仿宋" w:hAnsi="仿宋" w:eastAsia="仿宋" w:cs="黑体"/>
          <w:b w:val="0"/>
          <w:bCs w:val="0"/>
          <w:color w:val="000000" w:themeColor="text1"/>
          <w:sz w:val="30"/>
          <w:szCs w:val="30"/>
          <w14:textFill>
            <w14:solidFill>
              <w14:schemeClr w14:val="tx1"/>
            </w14:solidFill>
          </w14:textFill>
        </w:rPr>
        <w:sectPr>
          <w:footerReference r:id="rId5" w:type="default"/>
          <w:pgSz w:w="11910" w:h="16840"/>
          <w:pgMar w:top="2098" w:right="1474" w:bottom="1985" w:left="1588" w:header="896" w:footer="1117" w:gutter="0"/>
          <w:pgNumType w:start="1"/>
          <w:cols w:space="720" w:num="1"/>
        </w:sectPr>
      </w:pPr>
      <w:r>
        <w:rPr>
          <w:rFonts w:ascii="仿宋" w:hAnsi="仿宋" w:eastAsia="仿宋" w:cs="黑体"/>
          <w:b w:val="0"/>
          <w:bCs w:val="0"/>
          <w:color w:val="000000" w:themeColor="text1"/>
          <w:sz w:val="30"/>
          <w:szCs w:val="30"/>
          <w14:textFill>
            <w14:solidFill>
              <w14:schemeClr w14:val="tx1"/>
            </w14:solidFill>
          </w14:textFill>
        </w:rPr>
        <w:fldChar w:fldCharType="end"/>
      </w:r>
    </w:p>
    <w:p w14:paraId="751F353F">
      <w:pPr>
        <w:pStyle w:val="2"/>
        <w:pageBreakBefore w:val="0"/>
        <w:overflowPunct w:val="0"/>
        <w:topLinePunct/>
        <w:autoSpaceDE/>
        <w:autoSpaceDN/>
        <w:spacing w:beforeLines="0" w:after="0" w:afterLines="0" w:line="520" w:lineRule="exact"/>
        <w:ind w:firstLine="640" w:firstLineChars="200"/>
        <w:jc w:val="both"/>
        <w:rPr>
          <w:rFonts w:ascii="黑体" w:hAnsi="黑体" w:eastAsia="黑体"/>
          <w:b w:val="0"/>
          <w:sz w:val="32"/>
          <w:szCs w:val="32"/>
        </w:rPr>
      </w:pPr>
      <w:bookmarkStart w:id="4" w:name="_Toc195289322"/>
      <w:r>
        <w:rPr>
          <w:rFonts w:hint="eastAsia" w:ascii="黑体" w:hAnsi="黑体" w:eastAsia="黑体"/>
          <w:b w:val="0"/>
          <w:sz w:val="32"/>
          <w:szCs w:val="32"/>
        </w:rPr>
        <w:t>1 总</w:t>
      </w:r>
      <w:r>
        <w:rPr>
          <w:rFonts w:hint="eastAsia" w:ascii="黑体" w:hAnsi="黑体" w:eastAsia="黑体"/>
          <w:b w:val="0"/>
          <w:sz w:val="32"/>
          <w:szCs w:val="32"/>
          <w:lang w:val="en-US"/>
        </w:rPr>
        <w:t xml:space="preserve"> </w:t>
      </w:r>
      <w:r>
        <w:rPr>
          <w:rFonts w:hint="eastAsia" w:ascii="黑体" w:hAnsi="黑体" w:eastAsia="黑体"/>
          <w:b w:val="0"/>
          <w:sz w:val="32"/>
          <w:szCs w:val="32"/>
        </w:rPr>
        <w:t>则</w:t>
      </w:r>
      <w:bookmarkEnd w:id="3"/>
      <w:bookmarkEnd w:id="4"/>
    </w:p>
    <w:p w14:paraId="494AAF51">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14:textFill>
            <w14:solidFill>
              <w14:schemeClr w14:val="tx1"/>
            </w14:solidFill>
          </w14:textFill>
        </w:rPr>
      </w:pPr>
      <w:bookmarkStart w:id="5" w:name="_Toc25934948"/>
      <w:bookmarkStart w:id="6" w:name="_Toc22858"/>
      <w:bookmarkStart w:id="7" w:name="_Toc5442"/>
      <w:bookmarkStart w:id="8" w:name="_Toc22428"/>
      <w:bookmarkStart w:id="9" w:name="_Toc20594"/>
      <w:bookmarkStart w:id="10" w:name="_Toc16943"/>
      <w:bookmarkStart w:id="11" w:name="_Toc195289323"/>
      <w:r>
        <w:rPr>
          <w:rFonts w:hint="eastAsia" w:ascii="楷体" w:hAnsi="楷体" w:eastAsia="楷体" w:cs="楷体"/>
          <w:b w:val="0"/>
          <w:color w:val="000000" w:themeColor="text1"/>
          <w:lang w:val="en-US"/>
          <w14:textFill>
            <w14:solidFill>
              <w14:schemeClr w14:val="tx1"/>
            </w14:solidFill>
          </w14:textFill>
        </w:rPr>
        <w:t xml:space="preserve">1.1 </w:t>
      </w:r>
      <w:r>
        <w:rPr>
          <w:rFonts w:hint="eastAsia" w:ascii="楷体" w:hAnsi="楷体" w:eastAsia="楷体" w:cs="楷体"/>
          <w:b w:val="0"/>
          <w:color w:val="000000" w:themeColor="text1"/>
          <w14:textFill>
            <w14:solidFill>
              <w14:schemeClr w14:val="tx1"/>
            </w14:solidFill>
          </w14:textFill>
        </w:rPr>
        <w:t>编制目的</w:t>
      </w:r>
      <w:bookmarkEnd w:id="5"/>
      <w:bookmarkEnd w:id="6"/>
      <w:bookmarkEnd w:id="7"/>
      <w:bookmarkEnd w:id="8"/>
      <w:bookmarkEnd w:id="9"/>
      <w:bookmarkEnd w:id="10"/>
      <w:bookmarkEnd w:id="11"/>
    </w:p>
    <w:p w14:paraId="513492F6">
      <w:pPr>
        <w:spacing w:line="52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为建立健全全县危险化学品生产安全事故应急救援体系和运行机制，规范危险化学品生产安全事故应急救援程序，提高应急救援反应速度和水平，最大程度地预防和减少事故及其造成的人员伤亡、财产损失和环境损害，制定本预案。</w:t>
      </w:r>
    </w:p>
    <w:p w14:paraId="68F6CDB8">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12" w:name="_Toc25934949"/>
      <w:bookmarkStart w:id="13" w:name="_Toc11120"/>
      <w:bookmarkStart w:id="14" w:name="_Toc12239"/>
      <w:bookmarkStart w:id="15" w:name="_Toc195289324"/>
      <w:bookmarkStart w:id="16" w:name="_Toc23345"/>
      <w:bookmarkStart w:id="17" w:name="_Toc21446"/>
      <w:bookmarkStart w:id="18" w:name="_Toc27505"/>
      <w:r>
        <w:rPr>
          <w:rFonts w:hint="eastAsia" w:ascii="楷体" w:hAnsi="楷体" w:eastAsia="楷体" w:cs="楷体"/>
          <w:b w:val="0"/>
          <w:color w:val="000000" w:themeColor="text1"/>
          <w:lang w:val="en-US"/>
          <w14:textFill>
            <w14:solidFill>
              <w14:schemeClr w14:val="tx1"/>
            </w14:solidFill>
          </w14:textFill>
        </w:rPr>
        <w:t>1.2 编制依据</w:t>
      </w:r>
      <w:bookmarkEnd w:id="12"/>
      <w:bookmarkEnd w:id="13"/>
      <w:bookmarkEnd w:id="14"/>
      <w:bookmarkEnd w:id="15"/>
      <w:bookmarkEnd w:id="16"/>
      <w:bookmarkEnd w:id="17"/>
      <w:bookmarkEnd w:id="18"/>
    </w:p>
    <w:p w14:paraId="5F3EEA54">
      <w:pPr>
        <w:spacing w:line="52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中华人民共和国突发事件应对法》《中华人民共和国安全生产法》《中华人民共和国消防法》《危险化学品安全管理条例》《安全生产事故应急条例》《危险化学品名录（2022版）》《危险化学品重大危险源监督管理暂行规定》《危险化学品重大危险源辨识》《化学品安全技术说明书编写规范》《危险化学品仓库储存通则》《使用有毒物品作业场所劳动保护条例》</w:t>
      </w:r>
      <w:bookmarkStart w:id="19" w:name="1.3适用范围"/>
      <w:bookmarkEnd w:id="19"/>
      <w:bookmarkStart w:id="20" w:name="_bookmark2"/>
      <w:bookmarkEnd w:id="20"/>
      <w:r>
        <w:rPr>
          <w:rFonts w:hint="eastAsia" w:ascii="仿宋_GB2312" w:hAnsi="仿宋" w:eastAsia="仿宋_GB2312"/>
          <w:sz w:val="32"/>
          <w:szCs w:val="32"/>
        </w:rPr>
        <w:t>《中华人民共和国特种设备安全法》《石油化工企业设计防火标准》《城镇燃气设计规范》《海南省生产安全事故灾难应急预案》《海南自由贸易港消防条例》《海南经济特区安全生产条例》《海南省环境保护条例》《保亭黎族苗族自治县突发事件总体应急预案》</w:t>
      </w:r>
      <w:bookmarkStart w:id="427" w:name="_GoBack"/>
      <w:bookmarkEnd w:id="427"/>
    </w:p>
    <w:p w14:paraId="0BB0743B">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21" w:name="_Toc12638"/>
      <w:bookmarkStart w:id="22" w:name="_Toc18365"/>
      <w:bookmarkStart w:id="23" w:name="_Toc5511"/>
      <w:bookmarkStart w:id="24" w:name="_Toc195289325"/>
      <w:bookmarkStart w:id="25" w:name="_Toc21113"/>
      <w:bookmarkStart w:id="26" w:name="_Toc14585"/>
      <w:bookmarkStart w:id="27" w:name="_Toc25934950"/>
      <w:r>
        <w:rPr>
          <w:rFonts w:hint="eastAsia" w:ascii="楷体" w:hAnsi="楷体" w:eastAsia="楷体" w:cs="楷体"/>
          <w:b w:val="0"/>
          <w:color w:val="000000" w:themeColor="text1"/>
          <w:lang w:val="en-US"/>
          <w14:textFill>
            <w14:solidFill>
              <w14:schemeClr w14:val="tx1"/>
            </w14:solidFill>
          </w14:textFill>
        </w:rPr>
        <w:t>1.3 适用范围</w:t>
      </w:r>
      <w:bookmarkEnd w:id="21"/>
      <w:bookmarkEnd w:id="22"/>
      <w:bookmarkEnd w:id="23"/>
      <w:bookmarkEnd w:id="24"/>
      <w:bookmarkEnd w:id="25"/>
      <w:bookmarkEnd w:id="26"/>
      <w:bookmarkEnd w:id="27"/>
    </w:p>
    <w:p w14:paraId="0B67BB80">
      <w:pPr>
        <w:pStyle w:val="10"/>
        <w:spacing w:line="520" w:lineRule="exact"/>
        <w:ind w:left="0" w:leftChars="0" w:right="0" w:rightChars="0" w:firstLine="640"/>
        <w:jc w:val="both"/>
        <w:rPr>
          <w:rFonts w:ascii="仿宋_GB2312" w:hAnsi="仿宋" w:eastAsia="仿宋_GB2312"/>
          <w:sz w:val="32"/>
          <w:szCs w:val="32"/>
        </w:rPr>
      </w:pPr>
      <w:bookmarkStart w:id="28" w:name="_Toc3522"/>
      <w:bookmarkStart w:id="29" w:name="_Toc25819"/>
      <w:bookmarkStart w:id="30" w:name="_Toc224"/>
      <w:bookmarkStart w:id="31" w:name="_Toc25389"/>
      <w:bookmarkStart w:id="32" w:name="_Toc25934951"/>
      <w:r>
        <w:rPr>
          <w:rFonts w:hint="eastAsia" w:ascii="仿宋_GB2312" w:hAnsi="仿宋" w:eastAsia="仿宋_GB2312"/>
          <w:sz w:val="32"/>
          <w:szCs w:val="32"/>
        </w:rPr>
        <w:t>本预案适用于本县境内危险化学品经营、贮存、使用（城镇燃气除外）、运输过程发生以下生产安全事故的应急救援工作：</w:t>
      </w:r>
    </w:p>
    <w:p w14:paraId="2590DC97">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1.危险化学品经营、贮存和使用过程中发生一般（Ⅳ级）生产安全事故。</w:t>
      </w:r>
    </w:p>
    <w:p w14:paraId="416B6472">
      <w:pPr>
        <w:pStyle w:val="10"/>
        <w:spacing w:line="520" w:lineRule="exact"/>
        <w:ind w:left="0" w:leftChars="0" w:right="0" w:rightChars="0" w:firstLine="640"/>
        <w:jc w:val="both"/>
        <w:rPr>
          <w:rFonts w:ascii="仿宋_GB2312" w:hAnsi="仿宋" w:eastAsia="仿宋_GB2312"/>
          <w:sz w:val="32"/>
          <w:szCs w:val="32"/>
        </w:rPr>
      </w:pPr>
      <w:bookmarkStart w:id="33" w:name="OLE_LINK14"/>
      <w:r>
        <w:rPr>
          <w:rFonts w:hint="eastAsia" w:ascii="仿宋_GB2312" w:hAnsi="仿宋" w:eastAsia="仿宋_GB2312"/>
          <w:sz w:val="32"/>
          <w:szCs w:val="32"/>
        </w:rPr>
        <w:t>2.超出经营运输单位处置能力的危险化学品生产安全事故。</w:t>
      </w:r>
    </w:p>
    <w:p w14:paraId="4FF95037">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3.应生产经营单位请求，或者县政府认为有必要应急响应的危险化学品生产安全事故。</w:t>
      </w:r>
    </w:p>
    <w:p w14:paraId="2A872FEA">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4、需要县政府处置的危险化学品生产安全事故。</w:t>
      </w:r>
    </w:p>
    <w:p w14:paraId="57BB86F2">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5.发生较大（Ⅲ级）及以上危险化学品生产安全事故前期的应急救援，并由县政府分别向省政府、省应急管理厅报告并请求支援。</w:t>
      </w:r>
      <w:bookmarkEnd w:id="33"/>
    </w:p>
    <w:p w14:paraId="5034E89A">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34" w:name="_Toc25725"/>
      <w:bookmarkStart w:id="35" w:name="_Toc195289326"/>
      <w:r>
        <w:rPr>
          <w:rFonts w:hint="eastAsia" w:ascii="楷体" w:hAnsi="楷体" w:eastAsia="楷体" w:cs="楷体"/>
          <w:b w:val="0"/>
          <w:color w:val="000000" w:themeColor="text1"/>
          <w:lang w:val="en-US"/>
          <w14:textFill>
            <w14:solidFill>
              <w14:schemeClr w14:val="tx1"/>
            </w14:solidFill>
          </w14:textFill>
        </w:rPr>
        <w:t>1.4 工作原则</w:t>
      </w:r>
      <w:bookmarkEnd w:id="28"/>
      <w:bookmarkEnd w:id="29"/>
      <w:bookmarkEnd w:id="30"/>
      <w:bookmarkEnd w:id="31"/>
      <w:bookmarkEnd w:id="32"/>
      <w:bookmarkEnd w:id="34"/>
      <w:bookmarkEnd w:id="35"/>
    </w:p>
    <w:p w14:paraId="18CC2AFF">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（1）以人为本、</w:t>
      </w:r>
      <w:bookmarkStart w:id="36" w:name="_Toc331665457"/>
      <w:r>
        <w:rPr>
          <w:rFonts w:hint="eastAsia" w:ascii="仿宋_GB2312" w:hAnsi="仿宋" w:eastAsia="仿宋_GB2312"/>
          <w:sz w:val="32"/>
          <w:szCs w:val="32"/>
        </w:rPr>
        <w:t>安全第一：危险化学品生产安全事故应急救援工作要始终把保障公众生命安全和身体健康放在首位，最大限度地减少事故灾难造成的人员伤亡、财产损失和社会影响。</w:t>
      </w:r>
    </w:p>
    <w:p w14:paraId="6B9A4450">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（2）统一领导、</w:t>
      </w:r>
      <w:bookmarkEnd w:id="36"/>
      <w:bookmarkStart w:id="37" w:name="_Toc331665458"/>
      <w:r>
        <w:rPr>
          <w:rFonts w:hint="eastAsia" w:ascii="仿宋_GB2312" w:hAnsi="仿宋" w:eastAsia="仿宋_GB2312"/>
          <w:sz w:val="32"/>
          <w:szCs w:val="32"/>
        </w:rPr>
        <w:t xml:space="preserve">分级负责：在县委、县政府的统一领导下，县应急管理局和县职能部门按照各自职责和权限，负责危险化学品生产安全事故的应急响应和应急处置工作，建立健全生产安全事故应急预案和应急机制。企业履行安全生产应急管理工作主体责任。  </w:t>
      </w:r>
      <w:bookmarkEnd w:id="37"/>
      <w:bookmarkStart w:id="38" w:name="_Toc331665459"/>
      <w:r>
        <w:rPr>
          <w:rFonts w:hint="eastAsia" w:ascii="仿宋_GB2312" w:hAnsi="仿宋" w:eastAsia="仿宋_GB2312"/>
          <w:sz w:val="32"/>
          <w:szCs w:val="32"/>
        </w:rPr>
        <w:t xml:space="preserve">  </w:t>
      </w:r>
    </w:p>
    <w:p w14:paraId="183B9C70">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3）部门为主、属地配合：乡镇（新星居）积极参与本地区危险化学品生产安全事故应急救援工作，县政府所属部门按职责分工在县政府的统一指挥下有序参加危险化学品生产安全事故现场处置和应急救援工作。</w:t>
      </w:r>
    </w:p>
    <w:p w14:paraId="41ED3367">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（4）科学施救、规范有序</w:t>
      </w:r>
      <w:bookmarkEnd w:id="38"/>
      <w:bookmarkStart w:id="39" w:name="_Toc331665461"/>
      <w:r>
        <w:rPr>
          <w:rFonts w:hint="eastAsia" w:ascii="仿宋_GB2312" w:hAnsi="仿宋" w:eastAsia="仿宋_GB2312"/>
          <w:sz w:val="32"/>
          <w:szCs w:val="32"/>
        </w:rPr>
        <w:t>：不断改进和完善应急救援的装备、设施和手段，切实加强应急救援人员的安全防护，并按职责分工有序开展救援行动，应急救援工作组在指挥部的统一指挥下，共同做好应急救援工作。</w:t>
      </w:r>
      <w:bookmarkEnd w:id="39"/>
    </w:p>
    <w:p w14:paraId="43D9D188">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40" w:name="_Toc195289327"/>
      <w:r>
        <w:rPr>
          <w:rFonts w:hint="eastAsia" w:ascii="楷体" w:hAnsi="楷体" w:eastAsia="楷体" w:cs="楷体"/>
          <w:b w:val="0"/>
          <w:color w:val="000000" w:themeColor="text1"/>
          <w:lang w:val="en-US"/>
          <w14:textFill>
            <w14:solidFill>
              <w14:schemeClr w14:val="tx1"/>
            </w14:solidFill>
          </w14:textFill>
        </w:rPr>
        <w:t>1.5 事故分级</w:t>
      </w:r>
      <w:bookmarkEnd w:id="40"/>
    </w:p>
    <w:p w14:paraId="16482374">
      <w:pPr>
        <w:pStyle w:val="10"/>
        <w:spacing w:line="520" w:lineRule="exact"/>
        <w:ind w:left="0" w:leftChars="0" w:right="0" w:rightChars="0" w:firstLine="626"/>
        <w:jc w:val="both"/>
        <w:rPr>
          <w:rFonts w:ascii="仿宋_GB2312" w:hAnsi="仿宋" w:eastAsia="仿宋_GB2312"/>
          <w:sz w:val="32"/>
          <w:szCs w:val="32"/>
        </w:rPr>
      </w:pPr>
      <w:r>
        <w:rPr>
          <w:rFonts w:hint="eastAsia" w:ascii="仿宋" w:hAnsi="仿宋" w:eastAsia="仿宋" w:cs="仿宋_GB2312"/>
          <w:color w:val="000000" w:themeColor="text1"/>
          <w:spacing w:val="-7"/>
          <w:sz w:val="32"/>
          <w:szCs w:val="32"/>
          <w14:textFill>
            <w14:solidFill>
              <w14:schemeClr w14:val="tx1"/>
            </w14:solidFill>
          </w14:textFill>
        </w:rPr>
        <w:t>危</w:t>
      </w:r>
      <w:r>
        <w:rPr>
          <w:rFonts w:hint="eastAsia" w:ascii="仿宋_GB2312" w:hAnsi="仿宋" w:eastAsia="仿宋_GB2312"/>
          <w:sz w:val="32"/>
          <w:szCs w:val="32"/>
        </w:rPr>
        <w:t>险化学品事故按照其性质、可控性、危害程度和影响范围等因素，由低到高分为四级：一般（IV 级）、较大（Ⅲ级）、重大（Ⅱ级）、特别重大（I级）。</w:t>
      </w:r>
    </w:p>
    <w:p w14:paraId="6884D2D5">
      <w:pPr>
        <w:pStyle w:val="10"/>
        <w:spacing w:line="520" w:lineRule="exact"/>
        <w:ind w:left="0" w:leftChars="0" w:right="0" w:rightChars="0" w:firstLine="640"/>
        <w:jc w:val="both"/>
        <w:rPr>
          <w:rFonts w:ascii="仿宋_GB2312" w:hAnsi="仿宋" w:eastAsia="仿宋_GB2312"/>
          <w:sz w:val="32"/>
          <w:szCs w:val="32"/>
        </w:rPr>
      </w:pPr>
      <w:bookmarkStart w:id="41" w:name="_Toc28543"/>
      <w:bookmarkStart w:id="42" w:name="_Toc302"/>
      <w:bookmarkStart w:id="43" w:name="_Toc31847"/>
      <w:bookmarkStart w:id="44" w:name="_Toc25934961"/>
      <w:bookmarkStart w:id="45" w:name="_Toc15857"/>
      <w:bookmarkStart w:id="46" w:name="_Toc27602"/>
      <w:bookmarkStart w:id="47" w:name="_Toc22755"/>
      <w:bookmarkStart w:id="48" w:name="_Toc25934958"/>
      <w:bookmarkStart w:id="49" w:name="_Toc14474"/>
      <w:bookmarkStart w:id="50" w:name="_Toc26988"/>
      <w:r>
        <w:rPr>
          <w:rFonts w:hint="eastAsia" w:ascii="仿宋_GB2312" w:hAnsi="仿宋" w:eastAsia="仿宋_GB2312"/>
          <w:sz w:val="32"/>
          <w:szCs w:val="32"/>
        </w:rPr>
        <w:t>一般（Ⅳ级）危险化学品事故</w:t>
      </w:r>
      <w:bookmarkEnd w:id="41"/>
      <w:bookmarkEnd w:id="42"/>
      <w:bookmarkEnd w:id="43"/>
      <w:bookmarkEnd w:id="44"/>
      <w:bookmarkEnd w:id="45"/>
    </w:p>
    <w:p w14:paraId="4A993056">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造成 3 人以下死亡（含失踪），或 10 人以下重伤（包括急性工业中毒），或 1000 万元以下直接经济损失的危险化学品事故。</w:t>
      </w:r>
      <w:bookmarkStart w:id="51" w:name="_Toc25934960"/>
      <w:bookmarkStart w:id="52" w:name="_Toc5827"/>
      <w:bookmarkStart w:id="53" w:name="_Toc8577"/>
      <w:bookmarkStart w:id="54" w:name="_Toc32244"/>
      <w:bookmarkStart w:id="55" w:name="_Toc5094"/>
    </w:p>
    <w:p w14:paraId="71E02FDA">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较大（Ⅲ）级危险化学品事故</w:t>
      </w:r>
      <w:bookmarkEnd w:id="51"/>
      <w:bookmarkEnd w:id="52"/>
      <w:bookmarkEnd w:id="53"/>
      <w:bookmarkEnd w:id="54"/>
      <w:bookmarkEnd w:id="55"/>
    </w:p>
    <w:p w14:paraId="4098AB84">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造成 3 人以上、10 人以下死亡（含失踪），或10人以上、50 人以下重伤（包括急性工业中毒），或1000万元以上、5000万元以下直接经济损失的危险化学品事故。</w:t>
      </w:r>
    </w:p>
    <w:p w14:paraId="3BF8C164">
      <w:pPr>
        <w:pStyle w:val="10"/>
        <w:spacing w:line="520" w:lineRule="exact"/>
        <w:ind w:left="0" w:leftChars="0" w:right="0" w:rightChars="0" w:firstLine="640"/>
        <w:jc w:val="both"/>
        <w:rPr>
          <w:rFonts w:ascii="仿宋_GB2312" w:hAnsi="仿宋" w:eastAsia="仿宋_GB2312"/>
          <w:sz w:val="32"/>
          <w:szCs w:val="32"/>
        </w:rPr>
      </w:pPr>
      <w:bookmarkStart w:id="56" w:name="_Toc7262"/>
      <w:bookmarkStart w:id="57" w:name="_Toc29911"/>
      <w:bookmarkStart w:id="58" w:name="_Toc10502"/>
      <w:bookmarkStart w:id="59" w:name="_Toc12391"/>
      <w:bookmarkStart w:id="60" w:name="_Toc25934959"/>
      <w:r>
        <w:rPr>
          <w:rFonts w:hint="eastAsia" w:ascii="仿宋_GB2312" w:hAnsi="仿宋" w:eastAsia="仿宋_GB2312"/>
          <w:sz w:val="32"/>
          <w:szCs w:val="32"/>
        </w:rPr>
        <w:t>重大（Ⅱ级）危险化学品事故</w:t>
      </w:r>
      <w:bookmarkEnd w:id="56"/>
      <w:bookmarkEnd w:id="57"/>
      <w:bookmarkEnd w:id="58"/>
      <w:bookmarkEnd w:id="59"/>
      <w:bookmarkEnd w:id="60"/>
    </w:p>
    <w:p w14:paraId="511FFC62">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造成1O人以上、30人以下死亡（含失踪），或50人以上、100人以下重伤（包括急性工业中毒），或 5000万元以上、1亿元以下直接经济损失的危险化学品事故。</w:t>
      </w:r>
    </w:p>
    <w:p w14:paraId="53221A63">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特别重大（I级）危险化学品事故</w:t>
      </w:r>
      <w:bookmarkEnd w:id="46"/>
      <w:bookmarkEnd w:id="47"/>
      <w:bookmarkEnd w:id="48"/>
      <w:bookmarkEnd w:id="49"/>
      <w:bookmarkEnd w:id="50"/>
    </w:p>
    <w:p w14:paraId="5E5B1930">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造成30人以上死亡（含失踪），或 100人以上重伤（包括急性工业中毒），或1亿元以上直接经济损失的危险化学品事故。</w:t>
      </w:r>
    </w:p>
    <w:p w14:paraId="67E21C61">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上述有关数量表述中，“以上”含本数，“以下”不含本数。</w:t>
      </w:r>
    </w:p>
    <w:p w14:paraId="68679C30">
      <w:pPr>
        <w:pStyle w:val="3"/>
        <w:numPr>
          <w:ilvl w:val="255"/>
          <w:numId w:val="0"/>
        </w:numPr>
        <w:tabs>
          <w:tab w:val="left" w:pos="1320"/>
        </w:tabs>
        <w:spacing w:beforeLines="0" w:afterLines="0" w:line="520" w:lineRule="exact"/>
        <w:ind w:firstLine="640" w:firstLineChars="200"/>
        <w:jc w:val="both"/>
        <w:rPr>
          <w:rFonts w:ascii="楷体" w:hAnsi="楷体" w:eastAsia="楷体" w:cs="楷体"/>
          <w:color w:val="FF0000"/>
        </w:rPr>
      </w:pPr>
      <w:bookmarkStart w:id="61" w:name="_Toc504_WPSOffice_Level2"/>
      <w:bookmarkStart w:id="62" w:name="_Toc26963"/>
      <w:bookmarkStart w:id="63" w:name="_Toc16455"/>
      <w:bookmarkStart w:id="64" w:name="_Toc27451_WPSOffice_Level2"/>
      <w:bookmarkStart w:id="65" w:name="_Toc30115"/>
      <w:bookmarkStart w:id="66" w:name="_Toc7619_WPSOffice_Level2"/>
      <w:bookmarkStart w:id="67" w:name="_Toc22748041"/>
      <w:bookmarkStart w:id="68" w:name="_Toc195289328"/>
      <w:bookmarkStart w:id="69" w:name="_Toc32680"/>
      <w:bookmarkStart w:id="70" w:name="_Toc22750338"/>
      <w:r>
        <w:rPr>
          <w:rFonts w:hint="eastAsia" w:ascii="楷体" w:hAnsi="楷体" w:eastAsia="楷体" w:cs="楷体"/>
          <w:b w:val="0"/>
          <w:color w:val="000000" w:themeColor="text1"/>
          <w:lang w:val="en-US"/>
          <w14:textFill>
            <w14:solidFill>
              <w14:schemeClr w14:val="tx1"/>
            </w14:solidFill>
          </w14:textFill>
        </w:rPr>
        <w:t>1.6 应急预案体系</w:t>
      </w:r>
      <w:bookmarkEnd w:id="61"/>
      <w:bookmarkEnd w:id="62"/>
      <w:bookmarkEnd w:id="63"/>
      <w:bookmarkEnd w:id="64"/>
      <w:bookmarkEnd w:id="65"/>
      <w:bookmarkEnd w:id="66"/>
      <w:bookmarkEnd w:id="67"/>
      <w:bookmarkEnd w:id="68"/>
      <w:bookmarkEnd w:id="69"/>
      <w:bookmarkEnd w:id="70"/>
      <w:r>
        <w:rPr>
          <w:rFonts w:hint="eastAsia"/>
          <w:b w:val="0"/>
          <w:color w:val="000000" w:themeColor="text1"/>
          <w14:textFill>
            <w14:solidFill>
              <w14:schemeClr w14:val="tx1"/>
            </w14:solidFill>
          </w14:textFill>
        </w:rPr>
        <w:t>　</w:t>
      </w:r>
      <w:r>
        <w:rPr>
          <w:rFonts w:hint="eastAsia" w:ascii="楷体" w:hAnsi="楷体" w:eastAsia="楷体" w:cs="楷体"/>
          <w:color w:val="FF0000"/>
        </w:rPr>
        <w:t>　</w:t>
      </w:r>
    </w:p>
    <w:p w14:paraId="69DFCD4E">
      <w:pPr>
        <w:pStyle w:val="10"/>
        <w:spacing w:line="520" w:lineRule="exact"/>
        <w:ind w:left="0" w:leftChars="0" w:right="0" w:rightChars="0" w:firstLine="640"/>
        <w:jc w:val="both"/>
        <w:rPr>
          <w:rFonts w:ascii="仿宋_GB2312" w:hAnsi="仿宋" w:eastAsia="仿宋_GB2312"/>
          <w:sz w:val="32"/>
          <w:szCs w:val="32"/>
        </w:rPr>
      </w:pPr>
      <w:bookmarkStart w:id="71" w:name="_Hlk186226286"/>
      <w:r>
        <w:rPr>
          <w:rFonts w:hint="eastAsia" w:ascii="仿宋_GB2312" w:hAnsi="仿宋" w:eastAsia="仿宋_GB2312"/>
          <w:sz w:val="32"/>
          <w:szCs w:val="32"/>
        </w:rPr>
        <w:t>保亭黎族苗族自治县生产安全事故应急预案体系由县生产安全事故应急预案、部门生产安全事故应急预案、乡镇生产安全事故应急预案、生产经营单位生产安全事故应急预案四大类组成。</w:t>
      </w:r>
    </w:p>
    <w:p w14:paraId="49D40A71">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本预案作为部门生产安全事故应急预案，与县生产安全事故应急预案相衔接，是全县危险化学品生产安全事故应急工作的规范性文件。各相关乡镇、单位要按照有关法律法规、规范性文件制定本单位危险化学品生产安全事故应急预案</w:t>
      </w:r>
      <w:bookmarkEnd w:id="71"/>
      <w:r>
        <w:rPr>
          <w:rFonts w:hint="eastAsia" w:ascii="仿宋_GB2312" w:hAnsi="仿宋" w:eastAsia="仿宋_GB2312"/>
          <w:sz w:val="32"/>
          <w:szCs w:val="32"/>
        </w:rPr>
        <w:t>。</w:t>
      </w:r>
    </w:p>
    <w:p w14:paraId="66A17A79">
      <w:pPr>
        <w:pStyle w:val="2"/>
        <w:pageBreakBefore w:val="0"/>
        <w:overflowPunct w:val="0"/>
        <w:topLinePunct/>
        <w:autoSpaceDE/>
        <w:autoSpaceDN/>
        <w:spacing w:beforeLines="0" w:after="0" w:afterLines="0" w:line="520" w:lineRule="exact"/>
        <w:ind w:firstLine="640" w:firstLineChars="200"/>
        <w:jc w:val="both"/>
        <w:rPr>
          <w:rFonts w:ascii="黑体" w:hAnsi="黑体" w:eastAsia="黑体"/>
          <w:b w:val="0"/>
          <w:sz w:val="32"/>
          <w:szCs w:val="32"/>
        </w:rPr>
      </w:pPr>
      <w:bookmarkStart w:id="72" w:name="_bookmark5"/>
      <w:bookmarkEnd w:id="72"/>
      <w:bookmarkStart w:id="73" w:name="2.1事故风险分析"/>
      <w:bookmarkEnd w:id="73"/>
      <w:bookmarkStart w:id="74" w:name="2.1.1_事故类型"/>
      <w:bookmarkEnd w:id="74"/>
      <w:bookmarkStart w:id="75" w:name="2.1.2_危险程度分析"/>
      <w:bookmarkEnd w:id="75"/>
      <w:bookmarkStart w:id="76" w:name="_Toc633"/>
      <w:bookmarkStart w:id="77" w:name="_Toc195289329"/>
      <w:bookmarkStart w:id="78" w:name="_Toc10749"/>
      <w:bookmarkStart w:id="79" w:name="_Toc1187"/>
      <w:bookmarkStart w:id="80" w:name="_Toc3340"/>
      <w:bookmarkStart w:id="81" w:name="_Toc25934952"/>
      <w:bookmarkStart w:id="82" w:name="_Toc17514"/>
      <w:r>
        <w:rPr>
          <w:rFonts w:hint="eastAsia" w:ascii="黑体" w:hAnsi="黑体" w:eastAsia="黑体"/>
          <w:b w:val="0"/>
          <w:sz w:val="32"/>
          <w:szCs w:val="32"/>
        </w:rPr>
        <w:t>2 危险性分析</w:t>
      </w:r>
      <w:bookmarkEnd w:id="76"/>
      <w:bookmarkEnd w:id="77"/>
      <w:bookmarkEnd w:id="78"/>
      <w:bookmarkEnd w:id="79"/>
      <w:bookmarkEnd w:id="80"/>
      <w:bookmarkEnd w:id="81"/>
      <w:bookmarkEnd w:id="82"/>
    </w:p>
    <w:p w14:paraId="5BE46399">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83" w:name="_Toc30753"/>
      <w:bookmarkStart w:id="84" w:name="_Toc458"/>
      <w:bookmarkStart w:id="85" w:name="_Toc25848"/>
      <w:bookmarkStart w:id="86" w:name="_Toc8635"/>
      <w:bookmarkStart w:id="87" w:name="_Toc27329"/>
      <w:bookmarkStart w:id="88" w:name="_Toc25934953"/>
      <w:bookmarkStart w:id="89" w:name="_Toc195289330"/>
      <w:r>
        <w:rPr>
          <w:rFonts w:hint="eastAsia" w:ascii="楷体" w:hAnsi="楷体" w:eastAsia="楷体" w:cs="楷体"/>
          <w:b w:val="0"/>
          <w:color w:val="000000" w:themeColor="text1"/>
          <w:lang w:val="en-US"/>
          <w14:textFill>
            <w14:solidFill>
              <w14:schemeClr w14:val="tx1"/>
            </w14:solidFill>
          </w14:textFill>
        </w:rPr>
        <w:t xml:space="preserve">2.1 </w:t>
      </w:r>
      <w:bookmarkEnd w:id="83"/>
      <w:bookmarkEnd w:id="84"/>
      <w:bookmarkEnd w:id="85"/>
      <w:bookmarkEnd w:id="86"/>
      <w:bookmarkEnd w:id="87"/>
      <w:bookmarkEnd w:id="88"/>
      <w:r>
        <w:rPr>
          <w:rFonts w:hint="eastAsia" w:ascii="楷体" w:hAnsi="楷体" w:eastAsia="楷体" w:cs="楷体"/>
          <w:b w:val="0"/>
          <w:color w:val="000000" w:themeColor="text1"/>
          <w:lang w:val="en-US"/>
          <w14:textFill>
            <w14:solidFill>
              <w14:schemeClr w14:val="tx1"/>
            </w14:solidFill>
          </w14:textFill>
        </w:rPr>
        <w:t>基本概况</w:t>
      </w:r>
      <w:bookmarkEnd w:id="89"/>
    </w:p>
    <w:p w14:paraId="63CDD725">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本县辖区常见大宗危险化学品为汽油、柴油、液化天然气、液氨等易燃易爆物品；偶发输入、贮存、使用的危险化学品还有硫酸、酒精、硝酸、盐酸、氢氧化钠等。上述物品在贮存、使用、运输中易产生事故。主要的危险部位是危化品承载车辆、加油站各个区域、废水处理池等。可能导致重大事故发生的几种途径：泄漏、明火、雷击、静电、误操作。可能发生的重大事故的类型有火灾、爆炸、中毒和窒息、腐蚀、灼烫等事故。本县辖区危险化学品事故防控的重点在汽油、柴油、液化天然气、液氨等物品的运输、贮存与销售、使用环节。常见事故为液体泄漏、火灾、爆炸。重点关注点为加油（气）站，以及液氨使用单位。</w:t>
      </w:r>
    </w:p>
    <w:p w14:paraId="6AC39C3A">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90" w:name="_Toc24620"/>
      <w:bookmarkStart w:id="91" w:name="_Toc4385"/>
      <w:bookmarkStart w:id="92" w:name="_Toc26754"/>
      <w:bookmarkStart w:id="93" w:name="_Toc24598"/>
      <w:bookmarkStart w:id="94" w:name="_Toc9390"/>
      <w:bookmarkStart w:id="95" w:name="_Toc25934956"/>
      <w:bookmarkStart w:id="96" w:name="_Toc195289331"/>
      <w:r>
        <w:rPr>
          <w:rFonts w:hint="eastAsia" w:ascii="楷体" w:hAnsi="楷体" w:eastAsia="楷体" w:cs="楷体"/>
          <w:b w:val="0"/>
          <w:color w:val="000000" w:themeColor="text1"/>
          <w:lang w:val="en-US"/>
          <w14:textFill>
            <w14:solidFill>
              <w14:schemeClr w14:val="tx1"/>
            </w14:solidFill>
          </w14:textFill>
        </w:rPr>
        <w:t>2.2 风险分析</w:t>
      </w:r>
      <w:bookmarkEnd w:id="90"/>
      <w:bookmarkEnd w:id="91"/>
      <w:bookmarkEnd w:id="92"/>
      <w:bookmarkEnd w:id="93"/>
      <w:bookmarkEnd w:id="94"/>
      <w:bookmarkEnd w:id="95"/>
      <w:bookmarkEnd w:id="96"/>
    </w:p>
    <w:p w14:paraId="6D4D4B96">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危险化学品生产安全事故具有突发性强、扩散性强、连锁性强等特点，在高温高湿条件下极易发生事故且救援难度和经济损失大，主要危害表现在：影响人体健康，容易导致火灾及爆炸，对生态环境造成污染等。</w:t>
      </w:r>
    </w:p>
    <w:p w14:paraId="4959B69F">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生产过程发生事故的主要原因有：因选材不当、缺少可靠的控制仪表导致的设备缺陷；因大量危险化学品问世导致人员对加工物质的危险性认识不足；因教育培训不到位、操作技能不熟练、习惯性违章等导致的人员误操作。</w:t>
      </w:r>
    </w:p>
    <w:p w14:paraId="11BFD8CB">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危险化学品储存过程发生事故的主要原因有：因违章动火、作业车辆不防爆引起的明火源；因电气设备老化、故障引起的电气火花。</w:t>
      </w:r>
    </w:p>
    <w:p w14:paraId="07EC8DDC">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危险化学品使用过程发生事故的主要原因有：因人员误操作导致的化学反应；因劳保佩戴不齐全导致的人员伤害等。</w:t>
      </w:r>
    </w:p>
    <w:p w14:paraId="190AE78C">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危险化学品经营过程发生事故的主要原因有：因存储通风不良导致的化学反应；因装卸过程中车辆未接地导致的静电火花。</w:t>
      </w:r>
    </w:p>
    <w:p w14:paraId="5261A94B">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危险化学品运输过程发生事故的主要原因有：因道路不平坦、车辆加减速过程中与容器发生摩擦导致的静电；因通风不良、受潮导致的化学反应；因交通事故发生的能量释放或点火源。</w:t>
      </w:r>
    </w:p>
    <w:p w14:paraId="07A88E5F">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危险化学品废气处置过程发生事故的主要原因有：人员劳保穿戴不齐全导致的腐蚀、灼伤等人员伤害；因处置不当引发的危险化学品泄漏。</w:t>
      </w:r>
    </w:p>
    <w:p w14:paraId="686A8A1B">
      <w:pPr>
        <w:pStyle w:val="2"/>
        <w:pageBreakBefore w:val="0"/>
        <w:overflowPunct w:val="0"/>
        <w:topLinePunct/>
        <w:autoSpaceDE/>
        <w:autoSpaceDN/>
        <w:spacing w:beforeLines="0" w:after="0" w:afterLines="0" w:line="520" w:lineRule="exact"/>
        <w:ind w:firstLine="640" w:firstLineChars="200"/>
        <w:jc w:val="both"/>
        <w:rPr>
          <w:rFonts w:ascii="黑体" w:hAnsi="黑体" w:eastAsia="黑体"/>
          <w:b w:val="0"/>
          <w:sz w:val="32"/>
          <w:szCs w:val="32"/>
        </w:rPr>
      </w:pPr>
      <w:bookmarkStart w:id="97" w:name="职责划分"/>
      <w:bookmarkEnd w:id="97"/>
      <w:bookmarkStart w:id="98" w:name="应急组织体系"/>
      <w:bookmarkEnd w:id="98"/>
      <w:bookmarkStart w:id="99" w:name="_bookmark8"/>
      <w:bookmarkEnd w:id="99"/>
      <w:bookmarkStart w:id="100" w:name="_Toc25934962"/>
      <w:bookmarkStart w:id="101" w:name="_Toc195289332"/>
      <w:bookmarkStart w:id="102" w:name="_Toc28371"/>
      <w:bookmarkStart w:id="103" w:name="_Toc26238"/>
      <w:bookmarkStart w:id="104" w:name="_Toc21846"/>
      <w:bookmarkStart w:id="105" w:name="_Toc8752"/>
      <w:bookmarkStart w:id="106" w:name="_Toc24428"/>
      <w:r>
        <w:rPr>
          <w:rFonts w:hint="eastAsia" w:ascii="黑体" w:hAnsi="黑体" w:eastAsia="黑体"/>
          <w:b w:val="0"/>
          <w:sz w:val="32"/>
          <w:szCs w:val="32"/>
        </w:rPr>
        <w:t>3组织指挥系统与职责</w:t>
      </w:r>
      <w:bookmarkEnd w:id="100"/>
      <w:bookmarkEnd w:id="101"/>
      <w:bookmarkEnd w:id="102"/>
      <w:bookmarkEnd w:id="103"/>
      <w:bookmarkEnd w:id="104"/>
      <w:bookmarkEnd w:id="105"/>
      <w:bookmarkEnd w:id="106"/>
    </w:p>
    <w:p w14:paraId="5A412578">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107" w:name="_Toc25934963"/>
      <w:bookmarkStart w:id="108" w:name="_Toc21816"/>
      <w:bookmarkStart w:id="109" w:name="_Toc27941"/>
      <w:bookmarkStart w:id="110" w:name="_Toc16494"/>
      <w:bookmarkStart w:id="111" w:name="_Toc17317"/>
      <w:bookmarkStart w:id="112" w:name="_Toc2009"/>
      <w:bookmarkStart w:id="113" w:name="_Toc195289333"/>
      <w:r>
        <w:rPr>
          <w:rFonts w:hint="eastAsia" w:ascii="楷体" w:hAnsi="楷体" w:eastAsia="楷体" w:cs="楷体"/>
          <w:b w:val="0"/>
          <w:color w:val="000000" w:themeColor="text1"/>
          <w:lang w:val="en-US"/>
          <w14:textFill>
            <w14:solidFill>
              <w14:schemeClr w14:val="tx1"/>
            </w14:solidFill>
          </w14:textFill>
        </w:rPr>
        <w:t>3.1 应急组织</w:t>
      </w:r>
      <w:bookmarkEnd w:id="107"/>
      <w:bookmarkEnd w:id="108"/>
      <w:bookmarkEnd w:id="109"/>
      <w:bookmarkEnd w:id="110"/>
      <w:bookmarkEnd w:id="111"/>
      <w:bookmarkEnd w:id="112"/>
      <w:r>
        <w:rPr>
          <w:rFonts w:hint="eastAsia" w:ascii="楷体" w:hAnsi="楷体" w:eastAsia="楷体" w:cs="楷体"/>
          <w:b w:val="0"/>
          <w:color w:val="000000" w:themeColor="text1"/>
          <w:lang w:val="en-US"/>
          <w14:textFill>
            <w14:solidFill>
              <w14:schemeClr w14:val="tx1"/>
            </w14:solidFill>
          </w14:textFill>
        </w:rPr>
        <w:t>机构</w:t>
      </w:r>
      <w:bookmarkEnd w:id="113"/>
    </w:p>
    <w:p w14:paraId="10474982">
      <w:pPr>
        <w:pStyle w:val="10"/>
        <w:spacing w:line="520" w:lineRule="exact"/>
        <w:ind w:left="0" w:leftChars="0" w:right="0" w:rightChars="0" w:firstLine="640"/>
        <w:jc w:val="both"/>
        <w:rPr>
          <w:rFonts w:ascii="仿宋_GB2312" w:hAnsi="仿宋" w:eastAsia="仿宋_GB2312"/>
          <w:sz w:val="32"/>
          <w:szCs w:val="32"/>
        </w:rPr>
      </w:pPr>
      <w:bookmarkStart w:id="114" w:name="_Hlk194246400"/>
      <w:bookmarkStart w:id="115" w:name="_Hlk186227570"/>
      <w:r>
        <w:rPr>
          <w:rFonts w:hint="eastAsia" w:ascii="仿宋_GB2312" w:hAnsi="仿宋" w:eastAsia="仿宋_GB2312"/>
          <w:sz w:val="32"/>
          <w:szCs w:val="32"/>
        </w:rPr>
        <w:t>在县政府统一领导下，县安全生产和消防安全委员会（以下简称：县安消委会）设置县危险化学品安全生产事故现场应急指挥部（简称应急指挥部），在应急指挥部的领导下，组织抢险救援，安排、调运救援所需装备和物资；开展事故勘察、取证、分析等工作；做好事故善后处理工作；协调与县各部门的联络；负责制定和修订应急预案，并组织应急预案的演练；指导危险化学品安全生产事故应急救援工作</w:t>
      </w:r>
      <w:bookmarkEnd w:id="114"/>
      <w:r>
        <w:rPr>
          <w:rFonts w:hint="eastAsia" w:ascii="仿宋_GB2312" w:hAnsi="仿宋" w:eastAsia="仿宋_GB2312"/>
          <w:sz w:val="32"/>
          <w:szCs w:val="32"/>
        </w:rPr>
        <w:t>。</w:t>
      </w:r>
    </w:p>
    <w:p w14:paraId="19DBBCB2">
      <w:pPr>
        <w:pStyle w:val="10"/>
        <w:spacing w:line="520" w:lineRule="exact"/>
        <w:ind w:left="0" w:leftChars="0" w:right="0" w:rightChars="0" w:firstLine="640"/>
        <w:jc w:val="both"/>
        <w:rPr>
          <w:rFonts w:ascii="仿宋_GB2312" w:hAnsi="仿宋" w:eastAsia="仿宋_GB2312"/>
          <w:sz w:val="32"/>
          <w:szCs w:val="32"/>
        </w:rPr>
      </w:pPr>
      <w:bookmarkStart w:id="116" w:name="_Hlk194246452"/>
      <w:r>
        <w:rPr>
          <w:rFonts w:hint="eastAsia" w:ascii="仿宋_GB2312" w:hAnsi="仿宋" w:eastAsia="仿宋_GB2312"/>
          <w:sz w:val="32"/>
          <w:szCs w:val="32"/>
        </w:rPr>
        <w:t>应急指挥部由县政府分管安全生产副县长任总指挥，县应急管理局副局长和县消防救援局副局长任副总指挥。成员单位由行业主管部门、县应急管理局、县消防救援局、县生态环境局、县公安局、县卫生健康委、县民政局等部门相关负责人组成</w:t>
      </w:r>
      <w:bookmarkEnd w:id="116"/>
      <w:r>
        <w:rPr>
          <w:rFonts w:hint="eastAsia" w:ascii="仿宋_GB2312" w:hAnsi="仿宋" w:eastAsia="仿宋_GB2312"/>
          <w:sz w:val="32"/>
          <w:szCs w:val="32"/>
        </w:rPr>
        <w:t>。</w:t>
      </w:r>
    </w:p>
    <w:p w14:paraId="1DE2C28C">
      <w:pPr>
        <w:pStyle w:val="10"/>
        <w:spacing w:line="520" w:lineRule="exact"/>
        <w:ind w:left="0" w:leftChars="0" w:right="0" w:rightChars="0" w:firstLine="640"/>
        <w:jc w:val="both"/>
        <w:rPr>
          <w:rFonts w:ascii="仿宋_GB2312" w:hAnsi="仿宋" w:eastAsia="仿宋_GB2312"/>
          <w:sz w:val="32"/>
          <w:szCs w:val="32"/>
        </w:rPr>
      </w:pPr>
      <w:bookmarkStart w:id="117" w:name="_Hlk194246497"/>
      <w:r>
        <w:rPr>
          <w:rFonts w:hint="eastAsia" w:ascii="仿宋_GB2312" w:hAnsi="仿宋" w:eastAsia="仿宋_GB2312"/>
          <w:sz w:val="32"/>
          <w:szCs w:val="32"/>
        </w:rPr>
        <w:t>应急指挥部主要职责：全权负责事故现场救援处置方案的制定和组织实施，指挥参加救援的队伍和人员开展救援行动，及时向县安消委会报告事故发展态势及救援情况；组织专家研究制定现场应急救援方案，决策应急救援重大事项；指挥应急队伍进行现场抢救，提出应急行动原则要求；协调有关救援力量实施救助行动；协调有关部门对伤员进行医疗救助</w:t>
      </w:r>
      <w:bookmarkEnd w:id="117"/>
      <w:r>
        <w:rPr>
          <w:rFonts w:hint="eastAsia" w:ascii="仿宋_GB2312" w:hAnsi="仿宋" w:eastAsia="仿宋_GB2312"/>
          <w:sz w:val="32"/>
          <w:szCs w:val="32"/>
        </w:rPr>
        <w:t>。</w:t>
      </w:r>
    </w:p>
    <w:bookmarkEnd w:id="115"/>
    <w:p w14:paraId="1F4E2C15">
      <w:pPr>
        <w:pStyle w:val="10"/>
        <w:spacing w:line="520" w:lineRule="exact"/>
        <w:ind w:left="0" w:leftChars="0" w:right="0" w:rightChars="0" w:firstLine="640"/>
        <w:jc w:val="both"/>
        <w:rPr>
          <w:rFonts w:ascii="仿宋_GB2312" w:hAnsi="仿宋" w:eastAsia="仿宋_GB2312"/>
          <w:sz w:val="32"/>
          <w:szCs w:val="32"/>
        </w:rPr>
      </w:pPr>
      <w:bookmarkStart w:id="118" w:name="_Hlk186227868"/>
      <w:r>
        <w:rPr>
          <w:rFonts w:hint="eastAsia" w:ascii="仿宋_GB2312" w:hAnsi="仿宋" w:eastAsia="仿宋_GB2312"/>
          <w:sz w:val="32"/>
          <w:szCs w:val="32"/>
        </w:rPr>
        <w:t>应急指挥部主要成员单位工作职责：</w:t>
      </w:r>
    </w:p>
    <w:bookmarkEnd w:id="118"/>
    <w:p w14:paraId="14FDF673">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应急管理局：负责受理事故报警，负责县安消委办的日常工作；负责监督检查各地、各危险化学品从业单位制定应急救援预案；组织全县应急救援预案演练；负责事故信息的收集、综合和研判，向县安消委会提出启动本预案的建议；指导协助事发乡镇（新星居），做好受灾群众的安置、救助等工作；组织协调事故预防和应急处置工作；负责事故调查处理。</w:t>
      </w:r>
    </w:p>
    <w:p w14:paraId="6DE464EE">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县消防救援局：负责危险化学品生产安全事故的现场救援。承担危险化学品泄漏、火灾爆炸等生产安全事故抢险和救援工作，</w:t>
      </w:r>
      <w:r>
        <w:rPr>
          <w:rFonts w:ascii="仿宋_GB2312" w:hAnsi="仿宋" w:eastAsia="仿宋_GB2312"/>
          <w:sz w:val="32"/>
          <w:szCs w:val="32"/>
        </w:rPr>
        <w:t>按照有关规定参与事故的调查处理</w:t>
      </w:r>
      <w:r>
        <w:rPr>
          <w:rFonts w:hint="eastAsia" w:ascii="仿宋_GB2312" w:hAnsi="仿宋" w:eastAsia="仿宋_GB2312"/>
          <w:sz w:val="32"/>
          <w:szCs w:val="32"/>
        </w:rPr>
        <w:t>。</w:t>
      </w:r>
    </w:p>
    <w:p w14:paraId="6E00DF6A">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生态环境局：负责组织对事故现场大气、土壤、水体的应急监测，测定事故污染区域、污染程度；提供污染物清除处置建议和环境恢复建议等相关环保技术支持，指导协助做好环境污染处置工作；负责危险化学品事故引起的环境污染事件调查处理。</w:t>
      </w:r>
    </w:p>
    <w:p w14:paraId="3287E782">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县公安局：实施警戒区域内无关人员的紧急疏散；实施现场警戒与交通管制；维护事故现场及周围地区的治安秩序；查明伤亡人员身份和致害因素；控制事故相关责任人员；参与事故调查处理。</w:t>
      </w:r>
    </w:p>
    <w:p w14:paraId="22C945C3">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县交通运输局：负责协调应急救援的人员物资运输车辆和危险化学品转运车辆，运送疏散、撤离人员和运输救援物资。</w:t>
      </w:r>
    </w:p>
    <w:p w14:paraId="1E861405">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县卫生健康委：负责组织对伤员的医疗救护，指导救治医院储备相应的医疗器械和急救药品；组织开展现场救护及伤员转运，做好伤员救治的统计工作。</w:t>
      </w:r>
    </w:p>
    <w:p w14:paraId="18BAD6EA">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县委宣传部：负责指导事故应急救援工作的新闻报道；涉及事故原因和责任问题的信息发布、新闻报道按有关规定报批，负责指导协调事故信息发布和舆论引导、舆情监测等工作。</w:t>
      </w:r>
    </w:p>
    <w:p w14:paraId="52D39357">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县财政局：按照现行财政体制，落实生产安全事故应急救援物资工作经费。</w:t>
      </w:r>
    </w:p>
    <w:p w14:paraId="19C863A0">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县气象局：负责危险化学品生产安全事故应急救援过程中的气象监测和气象预报工作。</w:t>
      </w:r>
    </w:p>
    <w:p w14:paraId="37A29DA2">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县司法局：指导律师、公证员、基层法律服务工作者为生产安全事故提供法律服务。参与事故善后处理工作。</w:t>
      </w:r>
    </w:p>
    <w:p w14:paraId="748625A4">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县科学技术和工业信息化局：在生产安全事故救援工作中，参与协调救援装备和物资调集。负责组织协调通信运营企业，做好应急通信保障工作。</w:t>
      </w:r>
    </w:p>
    <w:p w14:paraId="595F03F4">
      <w:pPr>
        <w:pStyle w:val="10"/>
        <w:spacing w:line="520" w:lineRule="exact"/>
        <w:ind w:left="0" w:leftChars="0" w:right="0" w:rightChars="0" w:firstLine="640"/>
        <w:jc w:val="both"/>
        <w:rPr>
          <w:rFonts w:ascii="仿宋_GB2312" w:hAnsi="仿宋" w:eastAsia="仿宋_GB2312"/>
          <w:sz w:val="32"/>
          <w:szCs w:val="32"/>
        </w:rPr>
      </w:pPr>
      <w:bookmarkStart w:id="119" w:name="_Hlk186219622"/>
      <w:r>
        <w:rPr>
          <w:rFonts w:hint="eastAsia" w:ascii="仿宋_GB2312" w:hAnsi="仿宋" w:eastAsia="仿宋_GB2312"/>
          <w:sz w:val="32"/>
          <w:szCs w:val="32"/>
        </w:rPr>
        <w:t>县民政局：负责会同有关部门指导、协调善后处置等相关事务。</w:t>
      </w:r>
    </w:p>
    <w:bookmarkEnd w:id="119"/>
    <w:p w14:paraId="2D279FC1">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县总工会：参与生产安全事故职工伤亡情况的调查处理和善后处理等工作。</w:t>
      </w:r>
    </w:p>
    <w:p w14:paraId="6428691B">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乡镇（新星居）：生产安全事故发生后，积极参与现场应急救援工作。参与善后处理、后勤保障工作，及时向县政府报告事态进展及救援情况。</w:t>
      </w:r>
    </w:p>
    <w:p w14:paraId="7D552146">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应急指挥部也可根据应急救援需要和相关部门职能，临时协调其他成员单位参与事故救援和相关保障工作。</w:t>
      </w:r>
    </w:p>
    <w:p w14:paraId="45EA6CEC">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120" w:name="_Toc195289334"/>
      <w:r>
        <w:rPr>
          <w:rFonts w:hint="eastAsia" w:ascii="楷体" w:hAnsi="楷体" w:eastAsia="楷体" w:cs="楷体"/>
          <w:b w:val="0"/>
          <w:color w:val="000000" w:themeColor="text1"/>
          <w:lang w:val="en-US"/>
          <w14:textFill>
            <w14:solidFill>
              <w14:schemeClr w14:val="tx1"/>
            </w14:solidFill>
          </w14:textFill>
        </w:rPr>
        <w:t>3.2 现场工作组</w:t>
      </w:r>
      <w:bookmarkEnd w:id="120"/>
    </w:p>
    <w:p w14:paraId="4D616231">
      <w:pPr>
        <w:pStyle w:val="10"/>
        <w:spacing w:line="520" w:lineRule="exact"/>
        <w:ind w:left="0" w:leftChars="0" w:right="0" w:rightChars="0" w:firstLine="640"/>
        <w:jc w:val="both"/>
        <w:rPr>
          <w:rFonts w:ascii="仿宋_GB2312" w:hAnsi="仿宋" w:eastAsia="仿宋_GB2312"/>
          <w:sz w:val="32"/>
          <w:szCs w:val="32"/>
        </w:rPr>
      </w:pPr>
      <w:bookmarkStart w:id="121" w:name="_Hlk186228221"/>
      <w:r>
        <w:rPr>
          <w:rFonts w:hint="eastAsia" w:ascii="仿宋_GB2312" w:hAnsi="仿宋" w:eastAsia="仿宋_GB2312"/>
          <w:sz w:val="32"/>
          <w:szCs w:val="32"/>
        </w:rPr>
        <w:t>在发生危险化学品生产安全事故后，应急指挥部根据应急救援需要设置事故救援组、医疗救护组、后勤保障组、环境检测组、技术咨询组、警戒保卫组、善后处理组、新闻宣传组共计8个小组。</w:t>
      </w:r>
    </w:p>
    <w:bookmarkEnd w:id="121"/>
    <w:p w14:paraId="2C00BE14">
      <w:pPr>
        <w:pStyle w:val="10"/>
        <w:spacing w:line="520" w:lineRule="exact"/>
        <w:ind w:left="0" w:leftChars="0" w:right="0" w:rightChars="0" w:firstLine="640"/>
        <w:jc w:val="both"/>
        <w:rPr>
          <w:rFonts w:ascii="仿宋_GB2312" w:hAnsi="仿宋" w:eastAsia="仿宋_GB2312"/>
          <w:sz w:val="32"/>
          <w:szCs w:val="32"/>
        </w:rPr>
      </w:pPr>
      <w:bookmarkStart w:id="122" w:name="_Hlk194243341"/>
      <w:r>
        <w:rPr>
          <w:rFonts w:hint="eastAsia" w:ascii="仿宋_GB2312" w:hAnsi="仿宋" w:eastAsia="仿宋_GB2312"/>
          <w:sz w:val="32"/>
          <w:szCs w:val="32"/>
        </w:rPr>
        <w:t>1.事故救援组</w:t>
      </w:r>
    </w:p>
    <w:p w14:paraId="3388DBA9">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由县应急管理局牵头，县消防救援局、县公安局等部门人员参加。</w:t>
      </w:r>
    </w:p>
    <w:p w14:paraId="245FA66E">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工作职责：组织安排事故的抢险救援工作，防止事故进一步扩大；迅速调集警力，组织事故现场人员疏散和警戒工作；维护现场治安，防止事故现场人为破坏和其他突发事件；协助物资供应组组织调动运输工具；维护事故现场附近交通秩序。</w:t>
      </w:r>
    </w:p>
    <w:p w14:paraId="0480A11B">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2.医疗救护组</w:t>
      </w:r>
    </w:p>
    <w:p w14:paraId="55B145CD">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由县卫生健康委牵头，组织卫生系统的人员参加。</w:t>
      </w:r>
    </w:p>
    <w:p w14:paraId="59889B9B">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工作职责：迅速赶赴事故现场，分类并标记轻重伤员，抢救伤员；协调县医院对事故现场中受伤人员及时进行救治；协调血站、防疫部门做好受伤人员的供血和防疫工作。</w:t>
      </w:r>
    </w:p>
    <w:p w14:paraId="1C08C3AD">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 xml:space="preserve"> 3.后勤保障组</w:t>
      </w:r>
    </w:p>
    <w:p w14:paraId="38C33AC7">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由县应急管理局牵头，</w:t>
      </w:r>
      <w:bookmarkStart w:id="123" w:name="_Hlk186228524"/>
      <w:r>
        <w:rPr>
          <w:rFonts w:hint="eastAsia" w:ascii="仿宋_GB2312" w:hAnsi="仿宋" w:eastAsia="仿宋_GB2312"/>
          <w:sz w:val="32"/>
          <w:szCs w:val="32"/>
        </w:rPr>
        <w:t>组织县财政局、事发地乡镇（新星居）、</w:t>
      </w:r>
      <w:bookmarkEnd w:id="123"/>
      <w:r>
        <w:rPr>
          <w:rFonts w:hint="eastAsia" w:ascii="仿宋_GB2312" w:hAnsi="仿宋" w:eastAsia="仿宋_GB2312"/>
          <w:sz w:val="32"/>
          <w:szCs w:val="32"/>
        </w:rPr>
        <w:t>供电、供水等部门人员参加。</w:t>
      </w:r>
    </w:p>
    <w:p w14:paraId="34B2BD29">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工作职责：根据现场抢险实际需要，对照库存储备，及时准确地提供应急物资，必要时，及时调剂或紧急采购相关物资、器具等；负责受伤中毒人员、转移疏散人员的生活必需品的供应；负责应急处置所需装备、资金、电力、自来水的供应，确保运输和通信畅通。</w:t>
      </w:r>
    </w:p>
    <w:p w14:paraId="480F91B4">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4.环境监测组</w:t>
      </w:r>
    </w:p>
    <w:p w14:paraId="18558EFE">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由县生态环境局牵头，组织县应急管理局、县气象局等相关部门的人员参加。</w:t>
      </w:r>
    </w:p>
    <w:p w14:paraId="255B6FA1">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工作职责：负责对大气、水体、土壤等进行环境及时监测；确定危险物质的成分及浓度，确定污染区域范围，对事故造成的环境影响进行评估；制定环境修复方案并组织实施。</w:t>
      </w:r>
    </w:p>
    <w:p w14:paraId="3FD646A9">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5.技术咨询组</w:t>
      </w:r>
    </w:p>
    <w:p w14:paraId="1A618CB3">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由县应急管理局牵头，组织危险化学品类的技术专家参加。</w:t>
      </w:r>
    </w:p>
    <w:p w14:paraId="2B5F778F">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工作职责：负责邀请有关专家就事故发生的原因、危害等进行技术分析确认；根据事故特性及潜在的危险性做出评估，评估事故发展趋势，预测事故后果，为制定现场抢救方案和事故调查提供依据；为事故应急救援和调查处理提供技术咨询，为应急指挥部应急指挥决策提供建议；参加危险化学品事故的应急救援处置工作。</w:t>
      </w:r>
    </w:p>
    <w:p w14:paraId="087A7C33">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6.警戒保卫组</w:t>
      </w:r>
    </w:p>
    <w:p w14:paraId="5DFB5C6F">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由县公安局牵头，组织民警及相关单位人员参加。</w:t>
      </w:r>
    </w:p>
    <w:p w14:paraId="0F15F91A">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工作职责：实施现场警戒、人员疏散、维护治安秩序，保护事故现场；负责事发地交通管制等工作。</w:t>
      </w:r>
    </w:p>
    <w:p w14:paraId="590207B3">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7.善后处理组</w:t>
      </w:r>
    </w:p>
    <w:p w14:paraId="3DEE5324">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由县总工会牵头，组织县民政局、县司法局、事发地乡镇（新星居）等部门人员参加。</w:t>
      </w:r>
    </w:p>
    <w:p w14:paraId="7AF8623E">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工作职责：负责受灾群众的安置以及安置人员的生活保障，做好事故善后处理工作。</w:t>
      </w:r>
    </w:p>
    <w:p w14:paraId="25DDE062">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8.新闻宣传组</w:t>
      </w:r>
    </w:p>
    <w:p w14:paraId="4BF5CCD1">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由县委宣传部牵头，组织县融媒中心等部门人员参加。</w:t>
      </w:r>
    </w:p>
    <w:p w14:paraId="2FBF5720">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工作职责：负责事故信息综合整理等工作；在宣传部的组织下，制定新闻报道方案，发布事故灾难进展和处置情况信息等</w:t>
      </w:r>
      <w:bookmarkEnd w:id="122"/>
      <w:r>
        <w:rPr>
          <w:rFonts w:hint="eastAsia" w:ascii="仿宋_GB2312" w:hAnsi="仿宋" w:eastAsia="仿宋_GB2312"/>
          <w:sz w:val="32"/>
          <w:szCs w:val="32"/>
        </w:rPr>
        <w:t>。</w:t>
      </w:r>
    </w:p>
    <w:p w14:paraId="5A7E415D">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124" w:name="_Toc351050352"/>
      <w:bookmarkStart w:id="125" w:name="_Toc329177935"/>
      <w:bookmarkStart w:id="126" w:name="_Toc32348"/>
      <w:bookmarkStart w:id="127" w:name="_Toc434219014"/>
      <w:bookmarkStart w:id="128" w:name="_Toc61"/>
      <w:bookmarkStart w:id="129" w:name="_Toc351019988"/>
      <w:bookmarkStart w:id="130" w:name="_Toc437590077"/>
      <w:bookmarkStart w:id="131" w:name="_Toc195289335"/>
      <w:bookmarkStart w:id="132" w:name="_Toc468736768"/>
      <w:bookmarkStart w:id="133" w:name="_Toc2314"/>
      <w:r>
        <w:rPr>
          <w:rFonts w:hint="eastAsia" w:ascii="楷体" w:hAnsi="楷体" w:eastAsia="楷体" w:cs="楷体"/>
          <w:b w:val="0"/>
          <w:color w:val="000000" w:themeColor="text1"/>
          <w:lang w:val="en-US"/>
          <w14:textFill>
            <w14:solidFill>
              <w14:schemeClr w14:val="tx1"/>
            </w14:solidFill>
          </w14:textFill>
        </w:rPr>
        <w:t xml:space="preserve">3.3 </w:t>
      </w:r>
      <w:bookmarkEnd w:id="124"/>
      <w:bookmarkEnd w:id="125"/>
      <w:bookmarkEnd w:id="126"/>
      <w:bookmarkEnd w:id="127"/>
      <w:bookmarkEnd w:id="128"/>
      <w:bookmarkEnd w:id="129"/>
      <w:r>
        <w:rPr>
          <w:rFonts w:hint="eastAsia" w:ascii="楷体" w:hAnsi="楷体" w:eastAsia="楷体" w:cs="楷体"/>
          <w:b w:val="0"/>
          <w:color w:val="000000" w:themeColor="text1"/>
          <w:lang w:val="en-US"/>
          <w14:textFill>
            <w14:solidFill>
              <w14:schemeClr w14:val="tx1"/>
            </w14:solidFill>
          </w14:textFill>
        </w:rPr>
        <w:t>专家及职责</w:t>
      </w:r>
      <w:bookmarkEnd w:id="130"/>
      <w:bookmarkEnd w:id="131"/>
      <w:bookmarkEnd w:id="132"/>
      <w:bookmarkEnd w:id="133"/>
    </w:p>
    <w:p w14:paraId="389E655A">
      <w:pPr>
        <w:pStyle w:val="10"/>
        <w:spacing w:line="520" w:lineRule="exact"/>
        <w:ind w:left="0" w:leftChars="0" w:right="0" w:rightChars="0" w:firstLine="640"/>
        <w:jc w:val="both"/>
        <w:rPr>
          <w:rFonts w:ascii="仿宋_GB2312" w:hAnsi="仿宋" w:eastAsia="仿宋_GB2312"/>
          <w:sz w:val="32"/>
          <w:szCs w:val="32"/>
        </w:rPr>
      </w:pPr>
      <w:bookmarkStart w:id="134" w:name="_Hlk186229004"/>
      <w:r>
        <w:rPr>
          <w:rFonts w:hint="eastAsia" w:ascii="仿宋_GB2312" w:hAnsi="仿宋" w:eastAsia="仿宋_GB2312"/>
          <w:sz w:val="32"/>
          <w:szCs w:val="32"/>
        </w:rPr>
        <w:t>由县应急管理局邀请省应急管理专家库中危险化学品应急救援专家，专家接到邀请后应尽快赶赴指定地点或通过电话联络等手段，为应急救援工作提供技术支持，为事故救援处置提供决策建议，必要时可参与现场技术鉴定工作</w:t>
      </w:r>
      <w:bookmarkEnd w:id="134"/>
      <w:r>
        <w:rPr>
          <w:rFonts w:hint="eastAsia" w:ascii="仿宋_GB2312" w:hAnsi="仿宋" w:eastAsia="仿宋_GB2312"/>
          <w:sz w:val="32"/>
          <w:szCs w:val="32"/>
        </w:rPr>
        <w:t>。</w:t>
      </w:r>
    </w:p>
    <w:p w14:paraId="2FA2FBFF">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135" w:name="_Toc88516185"/>
      <w:bookmarkStart w:id="136" w:name="_Toc195289336"/>
      <w:r>
        <w:rPr>
          <w:rFonts w:hint="eastAsia" w:ascii="楷体" w:hAnsi="楷体" w:eastAsia="楷体" w:cs="楷体"/>
          <w:b w:val="0"/>
          <w:color w:val="000000" w:themeColor="text1"/>
          <w:lang w:val="en-US"/>
          <w14:textFill>
            <w14:solidFill>
              <w14:schemeClr w14:val="tx1"/>
            </w14:solidFill>
          </w14:textFill>
        </w:rPr>
        <w:t>3.4</w:t>
      </w:r>
      <w:r>
        <w:rPr>
          <w:rFonts w:ascii="楷体" w:hAnsi="楷体" w:eastAsia="楷体" w:cs="楷体"/>
          <w:b w:val="0"/>
          <w:color w:val="000000" w:themeColor="text1"/>
          <w:lang w:val="en-US"/>
          <w14:textFill>
            <w14:solidFill>
              <w14:schemeClr w14:val="tx1"/>
            </w14:solidFill>
          </w14:textFill>
        </w:rPr>
        <w:t xml:space="preserve"> </w:t>
      </w:r>
      <w:r>
        <w:rPr>
          <w:rFonts w:hint="eastAsia" w:ascii="楷体" w:hAnsi="楷体" w:eastAsia="楷体" w:cs="楷体"/>
          <w:b w:val="0"/>
          <w:color w:val="000000" w:themeColor="text1"/>
          <w:lang w:val="en-US"/>
          <w14:textFill>
            <w14:solidFill>
              <w14:schemeClr w14:val="tx1"/>
            </w14:solidFill>
          </w14:textFill>
        </w:rPr>
        <w:t>应急救援队伍</w:t>
      </w:r>
      <w:bookmarkEnd w:id="135"/>
      <w:bookmarkEnd w:id="136"/>
    </w:p>
    <w:p w14:paraId="1AAA385C">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危险化学品生产安全事故应急救援队伍主要包括综合应急救援队伍、企业应急救援队伍等。必要时，可协调</w:t>
      </w:r>
      <w:r>
        <w:rPr>
          <w:rFonts w:ascii="仿宋_GB2312" w:hAnsi="仿宋" w:eastAsia="仿宋_GB2312"/>
          <w:sz w:val="32"/>
          <w:szCs w:val="32"/>
        </w:rPr>
        <w:t>国家危险化学品应急救援洋浦基地</w:t>
      </w:r>
      <w:r>
        <w:rPr>
          <w:rFonts w:hint="eastAsia" w:ascii="仿宋_GB2312" w:hAnsi="仿宋" w:eastAsia="仿宋_GB2312"/>
          <w:sz w:val="32"/>
          <w:szCs w:val="32"/>
        </w:rPr>
        <w:t>救援队伍参与应急救援。</w:t>
      </w:r>
    </w:p>
    <w:p w14:paraId="0F40E948">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1）综合应急救援队伍依托县消防救援局建立，主要负责危险化学品生产安全事故中火灾扑救、人员搜救、现场清理等工作，负责控制危险源，防止事故扩大及次生灾害发生，承担危险化学品生产安全事故综合应急救援任务。</w:t>
      </w:r>
    </w:p>
    <w:p w14:paraId="2D5405B9">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2）企业应急救援队伍由生产经营企业依法组建，负责本单位危险化学品生产安全事故的先期处置和应急救援工作，配合综合应急救援队伍开展抢险救援；按照编制的危险化学品生产安全事故应急预案，定期组织演练。</w:t>
      </w:r>
    </w:p>
    <w:p w14:paraId="0B6C4B40">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各应急救援队伍接到调度指令后，应立即启动应急响应行动，携带专业救援装备器材，尽快赶赴事故现场。应急救援队伍在现场指挥组统一指挥下，发挥专长，相互协作、科学施救。</w:t>
      </w:r>
    </w:p>
    <w:p w14:paraId="548F7CD6">
      <w:pPr>
        <w:pStyle w:val="2"/>
        <w:pageBreakBefore w:val="0"/>
        <w:overflowPunct w:val="0"/>
        <w:topLinePunct/>
        <w:autoSpaceDE/>
        <w:autoSpaceDN/>
        <w:spacing w:beforeLines="0" w:after="0" w:afterLines="0" w:line="520" w:lineRule="exact"/>
        <w:ind w:firstLine="640" w:firstLineChars="200"/>
        <w:jc w:val="both"/>
        <w:rPr>
          <w:rFonts w:ascii="黑体" w:hAnsi="黑体" w:eastAsia="黑体" w:cs="黑体"/>
          <w:b w:val="0"/>
          <w:color w:val="000000" w:themeColor="text1"/>
          <w:sz w:val="32"/>
          <w:szCs w:val="32"/>
          <w14:textFill>
            <w14:solidFill>
              <w14:schemeClr w14:val="tx1"/>
            </w14:solidFill>
          </w14:textFill>
        </w:rPr>
      </w:pPr>
      <w:bookmarkStart w:id="137" w:name="4.1危险源监控"/>
      <w:bookmarkEnd w:id="137"/>
      <w:bookmarkStart w:id="138" w:name="_bookmark10"/>
      <w:bookmarkEnd w:id="138"/>
      <w:bookmarkStart w:id="139" w:name="_Toc25934973"/>
      <w:bookmarkStart w:id="140" w:name="_Toc22459"/>
      <w:bookmarkStart w:id="141" w:name="_Toc8712"/>
      <w:bookmarkStart w:id="142" w:name="_Toc21443"/>
      <w:bookmarkStart w:id="143" w:name="_Toc26006"/>
      <w:bookmarkStart w:id="144" w:name="_Toc4300"/>
      <w:bookmarkStart w:id="145" w:name="_Toc195289337"/>
      <w:r>
        <w:rPr>
          <w:rFonts w:hint="eastAsia" w:ascii="黑体" w:hAnsi="黑体" w:eastAsia="黑体" w:cs="黑体"/>
          <w:b w:val="0"/>
          <w:color w:val="000000" w:themeColor="text1"/>
          <w:sz w:val="32"/>
          <w:szCs w:val="32"/>
          <w14:textFill>
            <w14:solidFill>
              <w14:schemeClr w14:val="tx1"/>
            </w14:solidFill>
          </w14:textFill>
        </w:rPr>
        <w:t>4 预警及信息报告</w:t>
      </w:r>
      <w:bookmarkEnd w:id="139"/>
      <w:bookmarkEnd w:id="140"/>
      <w:bookmarkEnd w:id="141"/>
      <w:bookmarkEnd w:id="142"/>
      <w:bookmarkEnd w:id="143"/>
      <w:bookmarkEnd w:id="144"/>
      <w:bookmarkEnd w:id="145"/>
    </w:p>
    <w:p w14:paraId="1FB50C7D">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146" w:name="_Toc25934974"/>
      <w:bookmarkStart w:id="147" w:name="_Toc23041"/>
      <w:bookmarkStart w:id="148" w:name="_Toc23640"/>
      <w:bookmarkStart w:id="149" w:name="_Toc2500"/>
      <w:bookmarkStart w:id="150" w:name="_Toc27948"/>
      <w:bookmarkStart w:id="151" w:name="_Toc23111"/>
      <w:bookmarkStart w:id="152" w:name="_Toc195289338"/>
      <w:r>
        <w:rPr>
          <w:rFonts w:hint="eastAsia" w:ascii="楷体" w:hAnsi="楷体" w:eastAsia="楷体" w:cs="楷体"/>
          <w:b w:val="0"/>
          <w:color w:val="000000" w:themeColor="text1"/>
          <w:lang w:val="en-US"/>
          <w14:textFill>
            <w14:solidFill>
              <w14:schemeClr w14:val="tx1"/>
            </w14:solidFill>
          </w14:textFill>
        </w:rPr>
        <w:t xml:space="preserve">4.1 </w:t>
      </w:r>
      <w:bookmarkEnd w:id="146"/>
      <w:bookmarkEnd w:id="147"/>
      <w:bookmarkEnd w:id="148"/>
      <w:bookmarkEnd w:id="149"/>
      <w:bookmarkEnd w:id="150"/>
      <w:bookmarkEnd w:id="151"/>
      <w:r>
        <w:rPr>
          <w:rFonts w:hint="eastAsia" w:ascii="楷体" w:hAnsi="楷体" w:eastAsia="楷体" w:cs="楷体"/>
          <w:b w:val="0"/>
          <w:color w:val="000000" w:themeColor="text1"/>
          <w:lang w:val="en-US"/>
          <w14:textFill>
            <w14:solidFill>
              <w14:schemeClr w14:val="tx1"/>
            </w14:solidFill>
          </w14:textFill>
        </w:rPr>
        <w:t>监测</w:t>
      </w:r>
      <w:bookmarkEnd w:id="152"/>
    </w:p>
    <w:p w14:paraId="7FACDCB7">
      <w:pPr>
        <w:pStyle w:val="10"/>
        <w:spacing w:line="520" w:lineRule="exact"/>
        <w:ind w:left="0" w:leftChars="0" w:right="0" w:rightChars="0" w:firstLine="640"/>
        <w:jc w:val="both"/>
        <w:rPr>
          <w:rFonts w:ascii="仿宋_GB2312" w:hAnsi="仿宋" w:eastAsia="仿宋_GB2312"/>
          <w:sz w:val="32"/>
          <w:szCs w:val="32"/>
        </w:rPr>
      </w:pPr>
      <w:bookmarkStart w:id="153" w:name="_Hlk194243554"/>
      <w:r>
        <w:rPr>
          <w:rFonts w:hint="eastAsia" w:ascii="仿宋_GB2312" w:hAnsi="仿宋" w:eastAsia="仿宋_GB2312"/>
          <w:sz w:val="32"/>
          <w:szCs w:val="32"/>
        </w:rPr>
        <w:t>县安消委办</w:t>
      </w:r>
      <w:bookmarkEnd w:id="153"/>
      <w:r>
        <w:rPr>
          <w:rFonts w:hint="eastAsia" w:ascii="仿宋_GB2312" w:hAnsi="仿宋" w:eastAsia="仿宋_GB2312"/>
          <w:sz w:val="32"/>
          <w:szCs w:val="32"/>
        </w:rPr>
        <w:t>要加强对可能造成事故因素（如：高温、恶劣天气等）的监测，及时上报可能引发重大及以上危险化学品生产安全事故的险情并发布预警。</w:t>
      </w:r>
    </w:p>
    <w:p w14:paraId="259C595C">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县安消委办要以安全管理综合信息系统为基础，建立危险化学品企业生产、经营、储存、使用等环节危险源数据库，形成政府监督管理、企业申报信息、数据共建共享。</w:t>
      </w:r>
    </w:p>
    <w:p w14:paraId="7A1CE214">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154" w:name="_Toc8763"/>
      <w:bookmarkStart w:id="155" w:name="_Toc30696"/>
      <w:bookmarkStart w:id="156" w:name="_Toc7790"/>
      <w:bookmarkStart w:id="157" w:name="_Toc11736"/>
      <w:bookmarkStart w:id="158" w:name="_Toc5017"/>
      <w:bookmarkStart w:id="159" w:name="_Toc25934975"/>
      <w:bookmarkStart w:id="160" w:name="_Toc195289339"/>
      <w:r>
        <w:rPr>
          <w:rFonts w:hint="eastAsia" w:ascii="楷体" w:hAnsi="楷体" w:eastAsia="楷体" w:cs="楷体"/>
          <w:b w:val="0"/>
          <w:color w:val="000000" w:themeColor="text1"/>
          <w:lang w:val="en-US"/>
          <w14:textFill>
            <w14:solidFill>
              <w14:schemeClr w14:val="tx1"/>
            </w14:solidFill>
          </w14:textFill>
        </w:rPr>
        <w:t>4.2 预警行动</w:t>
      </w:r>
      <w:bookmarkEnd w:id="154"/>
      <w:bookmarkEnd w:id="155"/>
      <w:bookmarkEnd w:id="156"/>
      <w:bookmarkEnd w:id="157"/>
      <w:bookmarkEnd w:id="158"/>
      <w:bookmarkEnd w:id="159"/>
      <w:bookmarkEnd w:id="160"/>
    </w:p>
    <w:p w14:paraId="411A1A4B">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按照突发事件发生的紧急程度、发展态势和可能造成的危害程度，危险化学品生产安全事故的预警级别由高到低分为一级、二级、三级、四级，分别用红色、橙色、黄色和蓝色标示。预警信息实行动态管理制度：发布预警信息的县政府要根据事态的发展，适时调整预警级别和宣布解除警报，并重新发布、报告和通报有关情况。</w:t>
      </w:r>
    </w:p>
    <w:p w14:paraId="216F80FF">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由县政府和有关部门根据预警发布权限规定，通过相关公共信息平台，发布危险化学品生产安全事故预警信息。预警信息包括发布单位、发布时间、可能发生突发事件的类别、可能影响时间和范围、预警级别、警示事项、事态发展、政府相关措施、咨询渠道等内容。</w:t>
      </w:r>
    </w:p>
    <w:p w14:paraId="4DB470A1">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161" w:name="_bookmark12"/>
      <w:bookmarkEnd w:id="161"/>
      <w:bookmarkStart w:id="162" w:name="4.3信息报告与处置"/>
      <w:bookmarkEnd w:id="162"/>
      <w:bookmarkStart w:id="163" w:name="信息报告的程序"/>
      <w:bookmarkEnd w:id="163"/>
      <w:bookmarkStart w:id="164" w:name="_Toc3106"/>
      <w:bookmarkStart w:id="165" w:name="_Toc14499"/>
      <w:bookmarkStart w:id="166" w:name="_Toc25934978"/>
      <w:bookmarkStart w:id="167" w:name="_Toc13501"/>
      <w:bookmarkStart w:id="168" w:name="_Toc13582"/>
      <w:bookmarkStart w:id="169" w:name="_Toc3316"/>
      <w:bookmarkStart w:id="170" w:name="_Toc195289340"/>
      <w:r>
        <w:rPr>
          <w:rFonts w:hint="eastAsia" w:ascii="楷体" w:hAnsi="楷体" w:eastAsia="楷体" w:cs="楷体"/>
          <w:b w:val="0"/>
          <w:color w:val="000000" w:themeColor="text1"/>
          <w:lang w:val="en-US"/>
          <w14:textFill>
            <w14:solidFill>
              <w14:schemeClr w14:val="tx1"/>
            </w14:solidFill>
          </w14:textFill>
        </w:rPr>
        <w:t>4.3 信息</w:t>
      </w:r>
      <w:bookmarkEnd w:id="164"/>
      <w:bookmarkEnd w:id="165"/>
      <w:bookmarkEnd w:id="166"/>
      <w:bookmarkEnd w:id="167"/>
      <w:bookmarkEnd w:id="168"/>
      <w:bookmarkEnd w:id="169"/>
      <w:r>
        <w:rPr>
          <w:rFonts w:hint="eastAsia" w:ascii="楷体" w:hAnsi="楷体" w:eastAsia="楷体" w:cs="楷体"/>
          <w:b w:val="0"/>
          <w:color w:val="000000" w:themeColor="text1"/>
          <w:lang w:val="en-US"/>
          <w14:textFill>
            <w14:solidFill>
              <w14:schemeClr w14:val="tx1"/>
            </w14:solidFill>
          </w14:textFill>
        </w:rPr>
        <w:t>上报</w:t>
      </w:r>
      <w:bookmarkEnd w:id="170"/>
    </w:p>
    <w:p w14:paraId="1E51C0F5">
      <w:pPr>
        <w:pStyle w:val="10"/>
        <w:spacing w:line="520" w:lineRule="exact"/>
        <w:ind w:left="0" w:leftChars="0" w:right="0" w:rightChars="0" w:firstLine="640"/>
        <w:jc w:val="both"/>
        <w:rPr>
          <w:rFonts w:ascii="仿宋_GB2312" w:hAnsi="仿宋" w:eastAsia="仿宋_GB2312"/>
          <w:sz w:val="32"/>
          <w:szCs w:val="32"/>
        </w:rPr>
      </w:pPr>
      <w:bookmarkStart w:id="171" w:name="_Hlk186230752"/>
      <w:r>
        <w:rPr>
          <w:rFonts w:hint="eastAsia" w:ascii="仿宋_GB2312" w:hAnsi="仿宋" w:eastAsia="仿宋_GB2312"/>
          <w:sz w:val="32"/>
          <w:szCs w:val="32"/>
        </w:rPr>
        <w:t>由县安消委办负责信息收集报告工作。信息报告遵循“一事一报、随发随报、即接即报、边核边报、阶段续报”的原则，坚持“快报事实、慎报原因”，保障重要紧急情况按有关规定第一时间报告。</w:t>
      </w:r>
    </w:p>
    <w:p w14:paraId="41644322">
      <w:pPr>
        <w:pStyle w:val="10"/>
        <w:spacing w:line="520" w:lineRule="exact"/>
        <w:ind w:left="0" w:leftChars="0" w:right="0" w:rightChars="0" w:firstLine="640"/>
        <w:jc w:val="both"/>
        <w:rPr>
          <w:rFonts w:ascii="仿宋_GB2312" w:hAnsi="仿宋" w:eastAsia="仿宋_GB2312"/>
          <w:sz w:val="32"/>
          <w:szCs w:val="32"/>
        </w:rPr>
      </w:pPr>
      <w:bookmarkStart w:id="172" w:name="_Hlk194243632"/>
      <w:r>
        <w:rPr>
          <w:rFonts w:hint="eastAsia" w:ascii="仿宋_GB2312" w:hAnsi="仿宋" w:eastAsia="仿宋_GB2312"/>
          <w:sz w:val="32"/>
          <w:szCs w:val="32"/>
        </w:rPr>
        <w:t>一般危险化学品生产安全事故发生后，事发地乡镇（新星居）、县安消委办要在立即采取措施控制事态的同时，收集各类基础信息和动态信息后，应迅速进行信息处理，在1小时内如实向县政府报告，不得迟报、谎报、瞒报和漏报，通报各联动单位。并依据有关规定，2小时内报告省安委办，凡需向省安委办报送的突发事件信息，县有关部门在向县政府报告的同时，上报省主管部门。</w:t>
      </w:r>
    </w:p>
    <w:p w14:paraId="3E7037CF">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对于较大以上的危险化学品生产安全事故，各乡镇（新星居）立即向县安消委办电话报告，县安消委办应在第一时间先向县政府报告，再向省安委办报告情况紧急时，可先采取口头或电话、短信等形式报告，再以书面形式报告。</w:t>
      </w:r>
    </w:p>
    <w:p w14:paraId="7219CC79">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报告内容主要包括时间、地点、信息来源、事件性质、危害程度、影响范围、事件发展趋势、初步原因，已经采取的措施和事件处置进展情况</w:t>
      </w:r>
      <w:bookmarkEnd w:id="171"/>
      <w:bookmarkEnd w:id="172"/>
      <w:r>
        <w:rPr>
          <w:rFonts w:hint="eastAsia" w:ascii="仿宋_GB2312" w:hAnsi="仿宋" w:eastAsia="仿宋_GB2312"/>
          <w:sz w:val="32"/>
          <w:szCs w:val="32"/>
        </w:rPr>
        <w:t>。</w:t>
      </w:r>
    </w:p>
    <w:p w14:paraId="62C63AB6">
      <w:pPr>
        <w:pStyle w:val="2"/>
        <w:pageBreakBefore w:val="0"/>
        <w:overflowPunct w:val="0"/>
        <w:topLinePunct/>
        <w:autoSpaceDE/>
        <w:autoSpaceDN/>
        <w:spacing w:beforeLines="0" w:after="0" w:afterLines="0" w:line="520" w:lineRule="exact"/>
        <w:ind w:firstLine="616" w:firstLineChars="200"/>
        <w:jc w:val="both"/>
        <w:rPr>
          <w:rFonts w:ascii="黑体" w:hAnsi="黑体" w:eastAsia="黑体" w:cs="Times New Roman"/>
          <w:b w:val="0"/>
          <w:bCs w:val="0"/>
          <w:spacing w:val="-6"/>
          <w:kern w:val="2"/>
          <w:sz w:val="32"/>
          <w:szCs w:val="32"/>
          <w:lang w:val="en-US" w:bidi="ar-SA"/>
        </w:rPr>
      </w:pPr>
      <w:bookmarkStart w:id="173" w:name="_bookmark14"/>
      <w:bookmarkEnd w:id="173"/>
      <w:bookmarkStart w:id="174" w:name="5.1分级响应"/>
      <w:bookmarkEnd w:id="174"/>
      <w:bookmarkStart w:id="175" w:name="5.2响应程序"/>
      <w:bookmarkEnd w:id="175"/>
      <w:bookmarkStart w:id="176" w:name="_Toc25934982"/>
      <w:bookmarkStart w:id="177" w:name="_Toc10656"/>
      <w:bookmarkStart w:id="178" w:name="_Toc16373"/>
      <w:bookmarkStart w:id="179" w:name="_Toc195289341"/>
      <w:bookmarkStart w:id="180" w:name="_Toc15974"/>
      <w:bookmarkStart w:id="181" w:name="_Toc7746"/>
      <w:bookmarkStart w:id="182" w:name="_Toc30653"/>
      <w:r>
        <w:rPr>
          <w:rFonts w:hint="eastAsia" w:ascii="黑体" w:hAnsi="黑体" w:eastAsia="黑体" w:cs="Times New Roman"/>
          <w:b w:val="0"/>
          <w:bCs w:val="0"/>
          <w:spacing w:val="-6"/>
          <w:kern w:val="2"/>
          <w:sz w:val="32"/>
          <w:szCs w:val="32"/>
          <w:lang w:val="en-US" w:bidi="ar-SA"/>
        </w:rPr>
        <w:t>5 应急响应</w:t>
      </w:r>
      <w:bookmarkEnd w:id="176"/>
      <w:bookmarkEnd w:id="177"/>
      <w:bookmarkEnd w:id="178"/>
      <w:bookmarkEnd w:id="179"/>
      <w:bookmarkEnd w:id="180"/>
      <w:bookmarkEnd w:id="181"/>
      <w:bookmarkEnd w:id="182"/>
    </w:p>
    <w:p w14:paraId="69C74297">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183" w:name="_Toc19169"/>
      <w:bookmarkStart w:id="184" w:name="_Toc7881"/>
      <w:bookmarkStart w:id="185" w:name="_Toc5583"/>
      <w:bookmarkStart w:id="186" w:name="_Toc25934983"/>
      <w:bookmarkStart w:id="187" w:name="_Toc3318"/>
      <w:bookmarkStart w:id="188" w:name="_Toc6504"/>
      <w:bookmarkStart w:id="189" w:name="_Toc195289342"/>
      <w:r>
        <w:rPr>
          <w:rFonts w:hint="eastAsia" w:ascii="楷体" w:hAnsi="楷体" w:eastAsia="楷体" w:cs="楷体"/>
          <w:b w:val="0"/>
          <w:color w:val="000000" w:themeColor="text1"/>
          <w:lang w:val="en-US"/>
          <w14:textFill>
            <w14:solidFill>
              <w14:schemeClr w14:val="tx1"/>
            </w14:solidFill>
          </w14:textFill>
        </w:rPr>
        <w:t>5.1 响应分级</w:t>
      </w:r>
      <w:bookmarkEnd w:id="183"/>
      <w:bookmarkEnd w:id="184"/>
      <w:bookmarkEnd w:id="185"/>
      <w:bookmarkEnd w:id="186"/>
      <w:bookmarkEnd w:id="187"/>
      <w:bookmarkEnd w:id="188"/>
      <w:bookmarkEnd w:id="189"/>
    </w:p>
    <w:p w14:paraId="1C5278F8">
      <w:pPr>
        <w:pStyle w:val="10"/>
        <w:spacing w:line="520" w:lineRule="exact"/>
        <w:ind w:left="0" w:leftChars="0" w:right="0" w:rightChars="0" w:firstLine="640"/>
        <w:jc w:val="both"/>
        <w:rPr>
          <w:rFonts w:ascii="仿宋_GB2312" w:hAnsi="仿宋" w:eastAsia="仿宋_GB2312"/>
          <w:sz w:val="32"/>
          <w:szCs w:val="32"/>
        </w:rPr>
      </w:pPr>
      <w:bookmarkStart w:id="190" w:name="_Hlk186231034"/>
      <w:r>
        <w:rPr>
          <w:rFonts w:hint="eastAsia" w:ascii="仿宋_GB2312" w:hAnsi="仿宋" w:eastAsia="仿宋_GB2312"/>
          <w:sz w:val="32"/>
          <w:szCs w:val="32"/>
        </w:rPr>
        <w:t>按照危化品的事故等级、应急的能力，根据等级负责的原则，将危险化学品事故应急响应由低到高分为Ⅳ</w:t>
      </w:r>
      <w:r>
        <w:rPr>
          <w:rFonts w:ascii="仿宋_GB2312" w:hAnsi="仿宋" w:eastAsia="仿宋_GB2312"/>
          <w:sz w:val="32"/>
          <w:szCs w:val="32"/>
        </w:rPr>
        <w:t>级响应（一般）、</w:t>
      </w:r>
      <w:r>
        <w:rPr>
          <w:rFonts w:hint="eastAsia" w:ascii="仿宋_GB2312" w:hAnsi="仿宋" w:eastAsia="仿宋_GB2312"/>
          <w:sz w:val="32"/>
          <w:szCs w:val="32"/>
        </w:rPr>
        <w:t>Ⅲ</w:t>
      </w:r>
      <w:r>
        <w:rPr>
          <w:rFonts w:ascii="仿宋_GB2312" w:hAnsi="仿宋" w:eastAsia="仿宋_GB2312"/>
          <w:sz w:val="32"/>
          <w:szCs w:val="32"/>
        </w:rPr>
        <w:t>级响应（较大），</w:t>
      </w:r>
      <w:r>
        <w:rPr>
          <w:rFonts w:hint="eastAsia" w:ascii="仿宋_GB2312" w:hAnsi="仿宋" w:eastAsia="仿宋_GB2312"/>
          <w:sz w:val="32"/>
          <w:szCs w:val="32"/>
        </w:rPr>
        <w:t>Ⅱ</w:t>
      </w:r>
      <w:r>
        <w:rPr>
          <w:rFonts w:ascii="仿宋_GB2312" w:hAnsi="仿宋" w:eastAsia="仿宋_GB2312"/>
          <w:sz w:val="32"/>
          <w:szCs w:val="32"/>
        </w:rPr>
        <w:t>级响应（重大）、</w:t>
      </w:r>
      <w:r>
        <w:rPr>
          <w:rFonts w:hint="eastAsia" w:ascii="仿宋_GB2312" w:hAnsi="仿宋" w:eastAsia="仿宋_GB2312"/>
          <w:sz w:val="32"/>
          <w:szCs w:val="32"/>
        </w:rPr>
        <w:t>Ⅰ</w:t>
      </w:r>
      <w:r>
        <w:rPr>
          <w:rFonts w:ascii="仿宋_GB2312" w:hAnsi="仿宋" w:eastAsia="仿宋_GB2312"/>
          <w:sz w:val="32"/>
          <w:szCs w:val="32"/>
        </w:rPr>
        <w:t>级响应</w:t>
      </w:r>
      <w:r>
        <w:rPr>
          <w:rFonts w:hint="eastAsia" w:ascii="仿宋_GB2312" w:hAnsi="仿宋" w:eastAsia="仿宋_GB2312"/>
          <w:sz w:val="32"/>
          <w:szCs w:val="32"/>
        </w:rPr>
        <w:t>（特别重大</w:t>
      </w:r>
      <w:r>
        <w:rPr>
          <w:rFonts w:ascii="仿宋_GB2312" w:hAnsi="仿宋" w:eastAsia="仿宋_GB2312"/>
          <w:sz w:val="32"/>
          <w:szCs w:val="32"/>
        </w:rPr>
        <w:t>）</w:t>
      </w:r>
      <w:r>
        <w:rPr>
          <w:rFonts w:hint="eastAsia" w:ascii="仿宋_GB2312" w:hAnsi="仿宋" w:eastAsia="仿宋_GB2312"/>
          <w:sz w:val="32"/>
          <w:szCs w:val="32"/>
        </w:rPr>
        <w:t>。</w:t>
      </w:r>
    </w:p>
    <w:p w14:paraId="70DF92E8">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事故响应遵循统一领导、分级负责、属地为主的原则。县人民政府负责Ⅳ级应急响应；省人民政府统一组织协调Ⅲ级及以上应急响应。</w:t>
      </w:r>
    </w:p>
    <w:p w14:paraId="0B352A67">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县应急管理局、事发地乡镇（新星居）要积极做好危险化学品生产安全事故的预警工作。当事故的危害可能超出县政府处置能力时（即达到Ⅲ级以上预警），要第一时间向省安委办报告。</w:t>
      </w:r>
    </w:p>
    <w:p w14:paraId="30B635B8">
      <w:pPr>
        <w:pStyle w:val="10"/>
        <w:spacing w:line="520" w:lineRule="exact"/>
        <w:ind w:left="0" w:leftChars="0" w:right="0" w:rightChars="0" w:firstLine="640"/>
        <w:jc w:val="both"/>
        <w:rPr>
          <w:rFonts w:ascii="仿宋_GB2312" w:hAnsi="仿宋" w:eastAsia="仿宋_GB2312"/>
          <w:sz w:val="32"/>
          <w:szCs w:val="32"/>
        </w:rPr>
      </w:pPr>
      <w:bookmarkStart w:id="191" w:name="_Hlk194243839"/>
      <w:r>
        <w:rPr>
          <w:rFonts w:hint="eastAsia" w:ascii="仿宋_GB2312" w:hAnsi="仿宋" w:eastAsia="仿宋_GB2312"/>
          <w:sz w:val="32"/>
          <w:szCs w:val="32"/>
        </w:rPr>
        <w:t>预警公告发布后，应急指挥部立即开展工作，通知应急指挥部各成员单位及其他有关单位和应急组织进入应急状态，密切关注事态进展，并按照预案要求做好应急响应的准备工作。并积极组织相关工作人员参与安全生产隐患排查和预防性检查工作。</w:t>
      </w:r>
    </w:p>
    <w:p w14:paraId="633A30F4">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县应急管理局要及时汇总分析事故隐患和预警信息，必要时组织相关部门、专业人员进行会商评估，并根据可能发生事故灾难严重情况及时提请县政府提升或降低预警级别。</w:t>
      </w:r>
    </w:p>
    <w:p w14:paraId="45259B76">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预警信息实行动态管理制度。发布预警信息的单位要根据事态的发展，适时调整预警级别和预警信息。</w:t>
      </w:r>
    </w:p>
    <w:p w14:paraId="4EC9D66F">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当事故得到妥善处理、涉险事故危险性降低或消除时，根据变化情况适时降低预警级别或宣布解除预警</w:t>
      </w:r>
      <w:bookmarkEnd w:id="190"/>
      <w:bookmarkEnd w:id="191"/>
      <w:r>
        <w:rPr>
          <w:rFonts w:hint="eastAsia" w:ascii="仿宋_GB2312" w:hAnsi="仿宋" w:eastAsia="仿宋_GB2312"/>
          <w:sz w:val="32"/>
          <w:szCs w:val="32"/>
        </w:rPr>
        <w:t>。</w:t>
      </w:r>
    </w:p>
    <w:p w14:paraId="30342EA0">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192" w:name="_Toc195289343"/>
      <w:bookmarkStart w:id="193" w:name="_Toc21372"/>
      <w:bookmarkStart w:id="194" w:name="_Toc7955"/>
      <w:bookmarkStart w:id="195" w:name="_Toc6404"/>
      <w:bookmarkStart w:id="196" w:name="_Toc25934984"/>
      <w:bookmarkStart w:id="197" w:name="_Toc21218"/>
      <w:r>
        <w:rPr>
          <w:rFonts w:hint="eastAsia" w:ascii="楷体" w:hAnsi="楷体" w:eastAsia="楷体" w:cs="楷体"/>
          <w:b w:val="0"/>
          <w:color w:val="000000" w:themeColor="text1"/>
          <w:lang w:val="en-US"/>
          <w14:textFill>
            <w14:solidFill>
              <w14:schemeClr w14:val="tx1"/>
            </w14:solidFill>
          </w14:textFill>
        </w:rPr>
        <w:t>5.2 响应程序</w:t>
      </w:r>
      <w:bookmarkEnd w:id="192"/>
      <w:bookmarkEnd w:id="193"/>
    </w:p>
    <w:p w14:paraId="5CED82D8">
      <w:pPr>
        <w:pStyle w:val="10"/>
        <w:spacing w:line="520" w:lineRule="exact"/>
        <w:ind w:left="0" w:leftChars="0" w:right="0" w:rightChars="0" w:firstLine="640"/>
        <w:jc w:val="both"/>
        <w:rPr>
          <w:rFonts w:ascii="仿宋_GB2312" w:hAnsi="仿宋" w:eastAsia="仿宋_GB2312"/>
          <w:sz w:val="32"/>
          <w:szCs w:val="32"/>
        </w:rPr>
      </w:pPr>
      <w:bookmarkStart w:id="198" w:name="_Hlk186231187"/>
      <w:r>
        <w:rPr>
          <w:rFonts w:hint="eastAsia" w:ascii="仿宋_GB2312" w:hAnsi="仿宋" w:eastAsia="仿宋_GB2312"/>
          <w:sz w:val="32"/>
          <w:szCs w:val="32"/>
        </w:rPr>
        <w:t>危险化学品生产安全突发事件按照下列程序进行</w:t>
      </w:r>
    </w:p>
    <w:p w14:paraId="1EC186B1">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Ⅳ</w:t>
      </w:r>
      <w:r>
        <w:rPr>
          <w:rFonts w:ascii="仿宋_GB2312" w:hAnsi="仿宋" w:eastAsia="仿宋_GB2312"/>
          <w:sz w:val="32"/>
          <w:szCs w:val="32"/>
        </w:rPr>
        <w:t>级响应</w:t>
      </w:r>
      <w:r>
        <w:rPr>
          <w:rFonts w:hint="eastAsia" w:ascii="仿宋_GB2312" w:hAnsi="仿宋" w:eastAsia="仿宋_GB2312"/>
          <w:sz w:val="32"/>
          <w:szCs w:val="32"/>
        </w:rPr>
        <w:t>：由事发单位、事发乡镇（新星居）上报，由县安消委办提出建议，报总指挥批准启动应急响应，组织调动事发单位、事发地乡镇（新星居），县消防救援局以及县相关应急救援队伍和资源进行协同处置。报县政府的同时，立即上报省安委办。</w:t>
      </w:r>
    </w:p>
    <w:p w14:paraId="0158EF33">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Ⅲ级及以上应急响应：根据乡镇（新星居）报告的事故应急情况，由县危险化学品突发事故应急指挥部提出建议，由县政府报请省政府批准后启动应急响应，组织调动全县应急救援队伍和资源进行先期处置</w:t>
      </w:r>
      <w:bookmarkEnd w:id="198"/>
      <w:r>
        <w:rPr>
          <w:rFonts w:hint="eastAsia" w:ascii="仿宋_GB2312" w:hAnsi="仿宋" w:eastAsia="仿宋_GB2312"/>
          <w:sz w:val="32"/>
          <w:szCs w:val="32"/>
        </w:rPr>
        <w:t>。</w:t>
      </w:r>
    </w:p>
    <w:bookmarkEnd w:id="194"/>
    <w:bookmarkEnd w:id="195"/>
    <w:bookmarkEnd w:id="196"/>
    <w:bookmarkEnd w:id="197"/>
    <w:p w14:paraId="4BDD2229">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199" w:name="5.3事故终止程序"/>
      <w:bookmarkEnd w:id="199"/>
      <w:bookmarkStart w:id="200" w:name="善后处置"/>
      <w:bookmarkEnd w:id="200"/>
      <w:bookmarkStart w:id="201" w:name="_bookmark15"/>
      <w:bookmarkEnd w:id="201"/>
      <w:bookmarkStart w:id="202" w:name="事故的调查与评估"/>
      <w:bookmarkEnd w:id="202"/>
      <w:bookmarkStart w:id="203" w:name="保险与理赔"/>
      <w:bookmarkEnd w:id="203"/>
      <w:bookmarkStart w:id="204" w:name="5.4应急结束及后期处置"/>
      <w:bookmarkEnd w:id="204"/>
      <w:bookmarkStart w:id="205" w:name="_Toc195289344"/>
      <w:bookmarkStart w:id="206" w:name="_Toc21475"/>
      <w:bookmarkStart w:id="207" w:name="_Toc11162"/>
      <w:bookmarkStart w:id="208" w:name="_Toc9782"/>
      <w:bookmarkStart w:id="209" w:name="_Toc23219"/>
      <w:bookmarkStart w:id="210" w:name="_Toc28741"/>
      <w:bookmarkStart w:id="211" w:name="_Toc25934985"/>
      <w:r>
        <w:rPr>
          <w:rFonts w:hint="eastAsia" w:ascii="楷体" w:hAnsi="楷体" w:eastAsia="楷体" w:cs="楷体"/>
          <w:b w:val="0"/>
          <w:color w:val="000000" w:themeColor="text1"/>
          <w:lang w:val="en-US"/>
          <w14:textFill>
            <w14:solidFill>
              <w14:schemeClr w14:val="tx1"/>
            </w14:solidFill>
          </w14:textFill>
        </w:rPr>
        <w:t>5.3 应急处置</w:t>
      </w:r>
      <w:bookmarkEnd w:id="205"/>
      <w:bookmarkEnd w:id="206"/>
      <w:bookmarkEnd w:id="207"/>
      <w:bookmarkEnd w:id="208"/>
      <w:bookmarkEnd w:id="209"/>
      <w:bookmarkEnd w:id="210"/>
      <w:bookmarkEnd w:id="211"/>
    </w:p>
    <w:p w14:paraId="7D74664B">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生产安全事故发生后，事故单位和当地乡镇（新星居）立即启动各自应急预案，组织自救和先期处置。视情调度消防、交警、卫健委、环保等有关部门及社会力量赶赴事故现场进行先期处置，控制灾情。</w:t>
      </w:r>
    </w:p>
    <w:p w14:paraId="75854A06">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根据事故的性质及发展趋势，实施分级响应。</w:t>
      </w:r>
    </w:p>
    <w:p w14:paraId="1575AEE9">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IV 级事故应急响应由县政府处理。</w:t>
      </w:r>
    </w:p>
    <w:p w14:paraId="13B89A78">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Ⅲ级及以上事故应急响应：上报省政府批准后，由县安消委会启动并组织实施安全生产事故灾难应急预案。县安消委办通知各成员单位立即赶赴现场。县安消委会统一指挥协调事发地乡镇（新星居）和有关部门进行先期处置。</w:t>
      </w:r>
    </w:p>
    <w:p w14:paraId="2C0A9B74">
      <w:pPr>
        <w:pStyle w:val="10"/>
        <w:spacing w:line="520" w:lineRule="exact"/>
        <w:ind w:left="0" w:leftChars="0" w:right="0" w:rightChars="0" w:firstLine="640"/>
        <w:jc w:val="both"/>
        <w:rPr>
          <w:rFonts w:ascii="仿宋_GB2312" w:hAnsi="仿宋" w:eastAsia="仿宋_GB2312"/>
          <w:sz w:val="32"/>
          <w:szCs w:val="32"/>
        </w:rPr>
      </w:pPr>
      <w:bookmarkStart w:id="212" w:name="_Toc467954078"/>
      <w:r>
        <w:rPr>
          <w:rFonts w:hint="eastAsia" w:ascii="仿宋_GB2312" w:hAnsi="仿宋" w:eastAsia="仿宋_GB2312"/>
          <w:sz w:val="32"/>
          <w:szCs w:val="32"/>
        </w:rPr>
        <w:t>5.3.1 火灾事故处置</w:t>
      </w:r>
      <w:bookmarkEnd w:id="212"/>
      <w:r>
        <w:rPr>
          <w:rFonts w:hint="eastAsia" w:ascii="仿宋_GB2312" w:hAnsi="仿宋" w:eastAsia="仿宋_GB2312"/>
          <w:sz w:val="32"/>
          <w:szCs w:val="32"/>
        </w:rPr>
        <w:t>措施</w:t>
      </w:r>
    </w:p>
    <w:p w14:paraId="2DFA6AE9">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1.确定火灾发生位置；</w:t>
      </w:r>
    </w:p>
    <w:p w14:paraId="7AE44834">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2.确定引起火灾的物质类别（压缩气体、液化气体、易燃液体、易燃物品、自燃物品等）；</w:t>
      </w:r>
    </w:p>
    <w:p w14:paraId="22B2F1BF">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3.确定火灾事故应急救援处置技术和专家；</w:t>
      </w:r>
    </w:p>
    <w:p w14:paraId="45F0F3CB">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4.明确火灾发生区域的周围环境；</w:t>
      </w:r>
    </w:p>
    <w:p w14:paraId="47C5908E">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5.明确周围区域存在的危险源分布情况；</w:t>
      </w:r>
    </w:p>
    <w:p w14:paraId="01478150">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6.确定火灾扑救的基本方法（包括人员防护、隔离、切断物料源头、可燃气体检测、断电、断火源、倒置、企业现场应急措施）；</w:t>
      </w:r>
    </w:p>
    <w:p w14:paraId="2F3898DB">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7.确定火灾可能导致的后果（火灾与爆炸伴随发生的可能性）；</w:t>
      </w:r>
    </w:p>
    <w:p w14:paraId="294CC548">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8.确定火灾可能导致的后果对周围区域可能影响规模和程度；</w:t>
      </w:r>
    </w:p>
    <w:p w14:paraId="01391139">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9.火灾可能导致后果的主要控制措施（控制火灾蔓延或产生爆炸、爆裂、喷溅、人员疏散、医疗救护等）；</w:t>
      </w:r>
    </w:p>
    <w:p w14:paraId="05565A11">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10.可能需要调动的应急救援力量（消防队伍等）。</w:t>
      </w:r>
    </w:p>
    <w:p w14:paraId="5CC9E94C">
      <w:pPr>
        <w:pStyle w:val="10"/>
        <w:spacing w:line="520" w:lineRule="exact"/>
        <w:ind w:left="0" w:leftChars="0" w:right="0" w:rightChars="0" w:firstLine="640"/>
        <w:jc w:val="both"/>
        <w:rPr>
          <w:rFonts w:ascii="仿宋_GB2312" w:hAnsi="仿宋" w:eastAsia="仿宋_GB2312"/>
          <w:sz w:val="32"/>
          <w:szCs w:val="32"/>
        </w:rPr>
      </w:pPr>
      <w:bookmarkStart w:id="213" w:name="_Toc467954079"/>
      <w:bookmarkStart w:id="214" w:name="_Toc278957030"/>
      <w:r>
        <w:rPr>
          <w:rFonts w:hint="eastAsia" w:ascii="仿宋_GB2312" w:hAnsi="仿宋" w:eastAsia="仿宋_GB2312"/>
          <w:sz w:val="32"/>
          <w:szCs w:val="32"/>
        </w:rPr>
        <w:t>5.3.2 爆炸事故处置</w:t>
      </w:r>
      <w:bookmarkEnd w:id="213"/>
      <w:bookmarkEnd w:id="214"/>
      <w:r>
        <w:rPr>
          <w:rFonts w:hint="eastAsia" w:ascii="仿宋_GB2312" w:hAnsi="仿宋" w:eastAsia="仿宋_GB2312"/>
          <w:sz w:val="32"/>
          <w:szCs w:val="32"/>
        </w:rPr>
        <w:t>措施</w:t>
      </w:r>
    </w:p>
    <w:p w14:paraId="4907EF42">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1.确定爆炸地点；</w:t>
      </w:r>
    </w:p>
    <w:p w14:paraId="50728354">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2.确定爆炸类型（物理爆炸、化学爆炸）；</w:t>
      </w:r>
    </w:p>
    <w:p w14:paraId="54250AE0">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3.确定引起爆炸的物质类别（气体、液体、固体）；</w:t>
      </w:r>
    </w:p>
    <w:p w14:paraId="2C1F19A7">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4.确定爆炸事故应急救援处置技术和专家；</w:t>
      </w:r>
    </w:p>
    <w:p w14:paraId="4027F32F">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5.明确爆炸地点的周围环境；</w:t>
      </w:r>
    </w:p>
    <w:p w14:paraId="57A931E8">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6.明确周围区域存在的重大隐患分布情况；</w:t>
      </w:r>
    </w:p>
    <w:p w14:paraId="10EC7756">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7.确定爆炸可能导致的后果（如火灾、二次爆炸等）；</w:t>
      </w:r>
    </w:p>
    <w:p w14:paraId="5AAAE0DA">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8.确定爆炸可能导致后果的主要控制措施（包括断电、断火源、断物料、冷却等再次爆炸控制手段、工程抢险、人员疏散、医疗救护等）；</w:t>
      </w:r>
    </w:p>
    <w:p w14:paraId="6880F764">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9.可能需要调动的应急救援力量。</w:t>
      </w:r>
    </w:p>
    <w:p w14:paraId="369F9C42">
      <w:pPr>
        <w:pStyle w:val="10"/>
        <w:spacing w:line="520" w:lineRule="exact"/>
        <w:ind w:left="0" w:leftChars="0" w:right="0" w:rightChars="0" w:firstLine="640"/>
        <w:jc w:val="both"/>
        <w:rPr>
          <w:rFonts w:ascii="仿宋_GB2312" w:hAnsi="仿宋" w:eastAsia="仿宋_GB2312"/>
          <w:sz w:val="32"/>
          <w:szCs w:val="32"/>
        </w:rPr>
      </w:pPr>
      <w:bookmarkStart w:id="215" w:name="_Toc467954080"/>
      <w:bookmarkStart w:id="216" w:name="_Toc278957031"/>
      <w:r>
        <w:rPr>
          <w:rFonts w:hint="eastAsia" w:ascii="仿宋_GB2312" w:hAnsi="仿宋" w:eastAsia="仿宋_GB2312"/>
          <w:sz w:val="32"/>
          <w:szCs w:val="32"/>
        </w:rPr>
        <w:t>5.3.3 易燃、易爆或有毒物质泄漏事故处置</w:t>
      </w:r>
      <w:bookmarkEnd w:id="215"/>
      <w:bookmarkEnd w:id="216"/>
      <w:r>
        <w:rPr>
          <w:rFonts w:hint="eastAsia" w:ascii="仿宋_GB2312" w:hAnsi="仿宋" w:eastAsia="仿宋_GB2312"/>
          <w:sz w:val="32"/>
          <w:szCs w:val="32"/>
        </w:rPr>
        <w:t>措施</w:t>
      </w:r>
    </w:p>
    <w:p w14:paraId="243A5D28">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1.确定泄漏源的位置；</w:t>
      </w:r>
    </w:p>
    <w:p w14:paraId="6E147E74">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2.确定泄漏的化学品种类（易燃、易爆或有毒物质）；</w:t>
      </w:r>
    </w:p>
    <w:p w14:paraId="23440774">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3.确定泄漏事故应急救援处置技术和专家；</w:t>
      </w:r>
    </w:p>
    <w:p w14:paraId="03DEA26B">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4.确定泄漏源的周围环境（环境功能区、人口密度等）；</w:t>
      </w:r>
    </w:p>
    <w:p w14:paraId="0F099BF8">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5.确定是否有泄漏物质进入大气、附近水源、下水道等场所；</w:t>
      </w:r>
    </w:p>
    <w:p w14:paraId="7EB13C4D">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6.明确周围区域存在的重大隐患分布情况；</w:t>
      </w:r>
    </w:p>
    <w:p w14:paraId="7063538D">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7.确定泄漏时间或预计持续时间；</w:t>
      </w:r>
    </w:p>
    <w:p w14:paraId="2D89328C">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8.实际或估算的泄漏量；</w:t>
      </w:r>
    </w:p>
    <w:p w14:paraId="0364F51D">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9.气象信息；</w:t>
      </w:r>
    </w:p>
    <w:p w14:paraId="531BFB41">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10.泄漏扩散趋势预测；</w:t>
      </w:r>
    </w:p>
    <w:p w14:paraId="7382BC69">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11.明确泄漏可能导致的后果（泄漏是否可能引起火灾、爆炸、中毒等后果，可燃气体检测）；</w:t>
      </w:r>
    </w:p>
    <w:p w14:paraId="7982F324">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12.明确泄漏危及周围环境的可能性；</w:t>
      </w:r>
    </w:p>
    <w:p w14:paraId="2FB6949B">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13.确定泄漏可能导致后果的主要控制措施（包括堵漏：停止泄漏、围堵泄漏、清除泄漏，工程抢险、人员疏散、医疗救护等）；</w:t>
      </w:r>
    </w:p>
    <w:p w14:paraId="0A6FC0C6">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14.可能需要调动的应急救援力量（消防救援大队、企业救援队伍等）；</w:t>
      </w:r>
    </w:p>
    <w:p w14:paraId="7C4323D3">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15.事故发生企业现场处置基本要点：个体防护、消防保护、切断源头、隔离、倒置、稀释等。</w:t>
      </w:r>
    </w:p>
    <w:p w14:paraId="36C242D3">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217" w:name="_Toc30396"/>
      <w:bookmarkStart w:id="218" w:name="_Toc25934988"/>
      <w:bookmarkStart w:id="219" w:name="_Toc25913"/>
      <w:bookmarkStart w:id="220" w:name="_Toc4426"/>
      <w:bookmarkStart w:id="221" w:name="_Toc26568"/>
      <w:bookmarkStart w:id="222" w:name="_Toc17190"/>
      <w:bookmarkStart w:id="223" w:name="_Toc22894"/>
      <w:bookmarkStart w:id="224" w:name="_Toc2380"/>
      <w:bookmarkStart w:id="225" w:name="_Toc195289345"/>
      <w:r>
        <w:rPr>
          <w:rFonts w:hint="eastAsia" w:ascii="楷体" w:hAnsi="楷体" w:eastAsia="楷体" w:cs="楷体"/>
          <w:b w:val="0"/>
          <w:color w:val="000000" w:themeColor="text1"/>
          <w:lang w:val="en-US"/>
          <w14:textFill>
            <w14:solidFill>
              <w14:schemeClr w14:val="tx1"/>
            </w14:solidFill>
          </w14:textFill>
        </w:rPr>
        <w:t>5.4 应急</w:t>
      </w:r>
      <w:bookmarkEnd w:id="217"/>
      <w:bookmarkEnd w:id="218"/>
      <w:bookmarkEnd w:id="219"/>
      <w:bookmarkEnd w:id="220"/>
      <w:bookmarkEnd w:id="221"/>
      <w:bookmarkEnd w:id="222"/>
      <w:bookmarkEnd w:id="223"/>
      <w:bookmarkEnd w:id="224"/>
      <w:r>
        <w:rPr>
          <w:rFonts w:hint="eastAsia" w:ascii="楷体" w:hAnsi="楷体" w:eastAsia="楷体" w:cs="楷体"/>
          <w:b w:val="0"/>
          <w:color w:val="000000" w:themeColor="text1"/>
          <w:lang w:val="en-US"/>
          <w14:textFill>
            <w14:solidFill>
              <w14:schemeClr w14:val="tx1"/>
            </w14:solidFill>
          </w14:textFill>
        </w:rPr>
        <w:t>升级或降级</w:t>
      </w:r>
      <w:bookmarkEnd w:id="225"/>
    </w:p>
    <w:p w14:paraId="558A6527">
      <w:pPr>
        <w:pStyle w:val="10"/>
        <w:spacing w:line="520" w:lineRule="exact"/>
        <w:ind w:left="0" w:leftChars="0" w:right="0" w:rightChars="0" w:firstLine="640"/>
        <w:jc w:val="both"/>
        <w:rPr>
          <w:rFonts w:ascii="仿宋_GB2312" w:hAnsi="仿宋" w:eastAsia="仿宋_GB2312"/>
          <w:sz w:val="32"/>
          <w:szCs w:val="32"/>
        </w:rPr>
      </w:pPr>
      <w:r>
        <w:rPr>
          <w:rFonts w:ascii="仿宋_GB2312" w:hAnsi="仿宋" w:eastAsia="仿宋_GB2312"/>
          <w:sz w:val="32"/>
          <w:szCs w:val="32"/>
        </w:rPr>
        <w:t>当</w:t>
      </w:r>
      <w:r>
        <w:rPr>
          <w:rFonts w:hint="eastAsia" w:ascii="仿宋_GB2312" w:hAnsi="仿宋" w:eastAsia="仿宋_GB2312"/>
          <w:sz w:val="32"/>
          <w:szCs w:val="32"/>
        </w:rPr>
        <w:t>全县应急救援</w:t>
      </w:r>
      <w:r>
        <w:rPr>
          <w:rFonts w:ascii="仿宋_GB2312" w:hAnsi="仿宋" w:eastAsia="仿宋_GB2312"/>
          <w:sz w:val="32"/>
          <w:szCs w:val="32"/>
        </w:rPr>
        <w:t>力量也无法有效控制</w:t>
      </w:r>
      <w:r>
        <w:rPr>
          <w:rFonts w:hint="eastAsia" w:ascii="仿宋_GB2312" w:hAnsi="仿宋" w:eastAsia="仿宋_GB2312"/>
          <w:sz w:val="32"/>
          <w:szCs w:val="32"/>
        </w:rPr>
        <w:t>危险化学品事故</w:t>
      </w:r>
      <w:r>
        <w:rPr>
          <w:rFonts w:ascii="仿宋_GB2312" w:hAnsi="仿宋" w:eastAsia="仿宋_GB2312"/>
          <w:sz w:val="32"/>
          <w:szCs w:val="32"/>
        </w:rPr>
        <w:t>灾情时</w:t>
      </w:r>
      <w:r>
        <w:rPr>
          <w:rFonts w:hint="eastAsia" w:ascii="仿宋_GB2312" w:hAnsi="仿宋" w:eastAsia="仿宋_GB2312"/>
          <w:sz w:val="32"/>
          <w:szCs w:val="32"/>
        </w:rPr>
        <w:t>，应急指挥部应将事态及时上报县政府，请求省政府支援，</w:t>
      </w:r>
      <w:r>
        <w:rPr>
          <w:rFonts w:ascii="仿宋_GB2312" w:hAnsi="仿宋" w:eastAsia="仿宋_GB2312"/>
          <w:sz w:val="32"/>
          <w:szCs w:val="32"/>
        </w:rPr>
        <w:t>应急响应</w:t>
      </w:r>
      <w:r>
        <w:rPr>
          <w:rFonts w:hint="eastAsia" w:ascii="仿宋_GB2312" w:hAnsi="仿宋" w:eastAsia="仿宋_GB2312"/>
          <w:sz w:val="32"/>
          <w:szCs w:val="32"/>
        </w:rPr>
        <w:t>由省政府</w:t>
      </w:r>
      <w:r>
        <w:rPr>
          <w:rFonts w:ascii="仿宋_GB2312" w:hAnsi="仿宋" w:eastAsia="仿宋_GB2312"/>
          <w:sz w:val="32"/>
          <w:szCs w:val="32"/>
        </w:rPr>
        <w:t>组织实施，</w:t>
      </w:r>
      <w:r>
        <w:rPr>
          <w:rFonts w:hint="eastAsia" w:ascii="仿宋_GB2312" w:hAnsi="仿宋" w:eastAsia="仿宋_GB2312"/>
          <w:sz w:val="32"/>
          <w:szCs w:val="32"/>
        </w:rPr>
        <w:t>县安消委会组织各相关单位积极</w:t>
      </w:r>
      <w:r>
        <w:rPr>
          <w:rFonts w:ascii="仿宋_GB2312" w:hAnsi="仿宋" w:eastAsia="仿宋_GB2312"/>
          <w:sz w:val="32"/>
          <w:szCs w:val="32"/>
        </w:rPr>
        <w:t>配合</w:t>
      </w:r>
      <w:r>
        <w:rPr>
          <w:rFonts w:hint="eastAsia" w:ascii="仿宋_GB2312" w:hAnsi="仿宋" w:eastAsia="仿宋_GB2312"/>
          <w:sz w:val="32"/>
          <w:szCs w:val="32"/>
        </w:rPr>
        <w:t>。</w:t>
      </w:r>
    </w:p>
    <w:p w14:paraId="39577477">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现场险情得到控制，事故伤亡情况已核实清楚，被困人员被解救，受伤人员已全部安排救治，善后工作已得到妥善处置，导致次生、衍生事故的隐患消除后，经现场救援应急指挥部确认、并报告县安消委会批准后，由现场救援应急指挥部宣布救援结束。</w:t>
      </w:r>
    </w:p>
    <w:p w14:paraId="6B1BD743">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226" w:name="_Toc31561"/>
      <w:bookmarkStart w:id="227" w:name="_Toc3924"/>
      <w:bookmarkStart w:id="228" w:name="_Toc195289346"/>
      <w:bookmarkStart w:id="229" w:name="_Toc21920"/>
      <w:bookmarkStart w:id="230" w:name="_Toc30390"/>
      <w:bookmarkStart w:id="231" w:name="_Toc5954"/>
      <w:bookmarkStart w:id="232" w:name="_Toc22991"/>
      <w:bookmarkStart w:id="233" w:name="_Toc30762"/>
      <w:bookmarkStart w:id="234" w:name="_Toc25934990"/>
      <w:r>
        <w:rPr>
          <w:rFonts w:hint="eastAsia" w:ascii="楷体" w:hAnsi="楷体" w:eastAsia="楷体" w:cs="楷体"/>
          <w:b w:val="0"/>
          <w:color w:val="000000" w:themeColor="text1"/>
          <w:lang w:val="en-US"/>
          <w14:textFill>
            <w14:solidFill>
              <w14:schemeClr w14:val="tx1"/>
            </w14:solidFill>
          </w14:textFill>
        </w:rPr>
        <w:t>5.5 信息发布</w:t>
      </w:r>
      <w:bookmarkEnd w:id="226"/>
      <w:bookmarkEnd w:id="227"/>
      <w:bookmarkEnd w:id="228"/>
      <w:bookmarkEnd w:id="229"/>
      <w:bookmarkEnd w:id="230"/>
      <w:bookmarkEnd w:id="231"/>
      <w:bookmarkEnd w:id="232"/>
      <w:bookmarkEnd w:id="233"/>
      <w:bookmarkEnd w:id="234"/>
    </w:p>
    <w:p w14:paraId="261E23F8">
      <w:pPr>
        <w:pStyle w:val="10"/>
        <w:spacing w:line="520" w:lineRule="exact"/>
        <w:ind w:left="0" w:leftChars="0" w:right="0" w:rightChars="0" w:firstLine="640"/>
        <w:jc w:val="both"/>
        <w:rPr>
          <w:rFonts w:ascii="仿宋_GB2312" w:hAnsi="仿宋" w:eastAsia="仿宋_GB2312"/>
          <w:sz w:val="32"/>
          <w:szCs w:val="32"/>
        </w:rPr>
      </w:pPr>
      <w:bookmarkStart w:id="235" w:name="_Hlk186232048"/>
      <w:r>
        <w:rPr>
          <w:rFonts w:hint="eastAsia" w:ascii="仿宋_GB2312" w:hAnsi="仿宋" w:eastAsia="仿宋_GB2312"/>
          <w:sz w:val="32"/>
          <w:szCs w:val="32"/>
        </w:rPr>
        <w:t>对于危险化学品生产安全事故已经引发或可能引发的社会舆论，县委宣传部等有关部门发布信息，协调网络、电视、报纸等有关媒体，开展对外解疑释惑、消除社会不当舆论、澄清事实。必要时，组织召开新闻发布会，正确引导新闻舆论，现场指挥部予以配合。</w:t>
      </w:r>
    </w:p>
    <w:p w14:paraId="6D56BA08">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信息发布内容主要包括：危险化学品生产安全事故的危害程度及其次生、衍生灾害的监测和预警情况；事故发生时间、地点、人员伤亡（包括下落不明人数）和财产损失情况、救援进展情况、事故区域交通管控情况以及临时交通措施；事故责任单位基本情况；事故初步原因等</w:t>
      </w:r>
      <w:bookmarkEnd w:id="235"/>
      <w:r>
        <w:rPr>
          <w:rFonts w:hint="eastAsia" w:ascii="仿宋_GB2312" w:hAnsi="仿宋" w:eastAsia="仿宋_GB2312"/>
          <w:sz w:val="32"/>
          <w:szCs w:val="32"/>
        </w:rPr>
        <w:t>。</w:t>
      </w:r>
    </w:p>
    <w:p w14:paraId="332BB60D">
      <w:pPr>
        <w:pStyle w:val="2"/>
        <w:pageBreakBefore w:val="0"/>
        <w:overflowPunct w:val="0"/>
        <w:topLinePunct/>
        <w:autoSpaceDE/>
        <w:autoSpaceDN/>
        <w:spacing w:beforeLines="0" w:after="0" w:afterLines="0" w:line="520" w:lineRule="exact"/>
        <w:ind w:firstLine="616" w:firstLineChars="200"/>
        <w:jc w:val="both"/>
        <w:rPr>
          <w:rFonts w:ascii="黑体" w:hAnsi="黑体" w:eastAsia="黑体" w:cs="Times New Roman"/>
          <w:b w:val="0"/>
          <w:bCs w:val="0"/>
          <w:spacing w:val="-6"/>
          <w:kern w:val="2"/>
          <w:sz w:val="32"/>
          <w:szCs w:val="32"/>
          <w:lang w:val="en-US" w:bidi="ar-SA"/>
        </w:rPr>
      </w:pPr>
      <w:bookmarkStart w:id="236" w:name="_Toc8418"/>
      <w:bookmarkStart w:id="237" w:name="_Toc29509"/>
      <w:bookmarkStart w:id="238" w:name="_Toc18497"/>
      <w:bookmarkStart w:id="239" w:name="_Toc19861"/>
      <w:bookmarkStart w:id="240" w:name="_Toc195289347"/>
      <w:bookmarkStart w:id="241" w:name="_Toc14833"/>
      <w:bookmarkStart w:id="242" w:name="_Toc25934992"/>
      <w:r>
        <w:rPr>
          <w:rFonts w:hint="eastAsia" w:ascii="黑体" w:hAnsi="黑体" w:eastAsia="黑体" w:cs="Times New Roman"/>
          <w:b w:val="0"/>
          <w:bCs w:val="0"/>
          <w:spacing w:val="-6"/>
          <w:kern w:val="2"/>
          <w:sz w:val="32"/>
          <w:szCs w:val="32"/>
          <w:lang w:val="en-US" w:bidi="ar-SA"/>
        </w:rPr>
        <w:t>6 后期处置</w:t>
      </w:r>
      <w:bookmarkEnd w:id="236"/>
      <w:bookmarkEnd w:id="237"/>
      <w:bookmarkEnd w:id="238"/>
      <w:bookmarkEnd w:id="239"/>
      <w:bookmarkEnd w:id="240"/>
      <w:bookmarkEnd w:id="241"/>
      <w:bookmarkEnd w:id="242"/>
    </w:p>
    <w:p w14:paraId="2EF3CEFD">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243" w:name="_Toc4687"/>
      <w:bookmarkStart w:id="244" w:name="_Toc5245"/>
      <w:bookmarkStart w:id="245" w:name="_Toc20698"/>
      <w:bookmarkStart w:id="246" w:name="_Toc27233"/>
      <w:bookmarkStart w:id="247" w:name="_Toc12697"/>
      <w:bookmarkStart w:id="248" w:name="_Toc25934993"/>
      <w:bookmarkStart w:id="249" w:name="_Toc195289348"/>
      <w:r>
        <w:rPr>
          <w:rFonts w:hint="eastAsia" w:ascii="楷体" w:hAnsi="楷体" w:eastAsia="楷体" w:cs="楷体"/>
          <w:b w:val="0"/>
          <w:color w:val="000000" w:themeColor="text1"/>
          <w:lang w:val="en-US"/>
          <w14:textFill>
            <w14:solidFill>
              <w14:schemeClr w14:val="tx1"/>
            </w14:solidFill>
          </w14:textFill>
        </w:rPr>
        <w:t>6.1 善后处置</w:t>
      </w:r>
      <w:bookmarkEnd w:id="243"/>
      <w:bookmarkEnd w:id="244"/>
      <w:bookmarkEnd w:id="245"/>
      <w:bookmarkEnd w:id="246"/>
      <w:bookmarkEnd w:id="247"/>
      <w:bookmarkEnd w:id="248"/>
      <w:bookmarkEnd w:id="249"/>
    </w:p>
    <w:p w14:paraId="5A589793">
      <w:pPr>
        <w:pStyle w:val="10"/>
        <w:spacing w:line="520" w:lineRule="exact"/>
        <w:ind w:left="0" w:leftChars="0" w:right="0" w:rightChars="0" w:firstLine="640"/>
        <w:jc w:val="both"/>
        <w:rPr>
          <w:rFonts w:ascii="仿宋_GB2312" w:hAnsi="仿宋" w:eastAsia="仿宋_GB2312"/>
          <w:sz w:val="32"/>
          <w:szCs w:val="32"/>
        </w:rPr>
      </w:pPr>
      <w:bookmarkStart w:id="250" w:name="_Hlk186232314"/>
      <w:r>
        <w:rPr>
          <w:rFonts w:hint="eastAsia" w:ascii="仿宋_GB2312" w:hAnsi="仿宋" w:eastAsia="仿宋_GB2312"/>
          <w:sz w:val="32"/>
          <w:szCs w:val="32"/>
        </w:rPr>
        <w:t>发生事故的生产经营单位负责善后处置工作，县安消委办负责协调，</w:t>
      </w:r>
      <w:bookmarkEnd w:id="250"/>
      <w:r>
        <w:rPr>
          <w:rFonts w:hint="eastAsia" w:ascii="仿宋_GB2312" w:hAnsi="仿宋" w:eastAsia="仿宋_GB2312"/>
          <w:sz w:val="32"/>
          <w:szCs w:val="32"/>
        </w:rPr>
        <w:t>包括人员安置、征用物资补偿，以及疾病预防控制，污染物收集、清理等事项。尽快消除事故灾难后果的不利影响，安抚受害和受影响人员，保证社会稳定，尽快恢复正常生活生产秩序。</w:t>
      </w:r>
    </w:p>
    <w:p w14:paraId="13BBD02D">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251" w:name="_Toc195289349"/>
      <w:bookmarkStart w:id="252" w:name="_Toc17919"/>
      <w:bookmarkStart w:id="253" w:name="_Toc8421"/>
      <w:bookmarkStart w:id="254" w:name="_Toc17691"/>
      <w:bookmarkStart w:id="255" w:name="_Toc11390"/>
      <w:bookmarkStart w:id="256" w:name="_Toc25934994"/>
      <w:bookmarkStart w:id="257" w:name="_Toc25966"/>
      <w:r>
        <w:rPr>
          <w:rFonts w:hint="eastAsia" w:ascii="楷体" w:hAnsi="楷体" w:eastAsia="楷体" w:cs="楷体"/>
          <w:b w:val="0"/>
          <w:color w:val="000000" w:themeColor="text1"/>
          <w:lang w:val="en-US"/>
          <w14:textFill>
            <w14:solidFill>
              <w14:schemeClr w14:val="tx1"/>
            </w14:solidFill>
          </w14:textFill>
        </w:rPr>
        <w:t>6.2 保险与理赔</w:t>
      </w:r>
      <w:bookmarkEnd w:id="251"/>
      <w:bookmarkEnd w:id="252"/>
      <w:bookmarkEnd w:id="253"/>
      <w:bookmarkEnd w:id="254"/>
      <w:bookmarkEnd w:id="255"/>
      <w:bookmarkEnd w:id="256"/>
      <w:bookmarkEnd w:id="257"/>
    </w:p>
    <w:p w14:paraId="272E05CC">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危险化学品事故发生后，保险监管机构应督促各类保险经办机构积极履行保险责任，迅速开展保险理赔工作。</w:t>
      </w:r>
    </w:p>
    <w:p w14:paraId="2BA12679">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县安消委会应当制定救济方案，明确财政、保险、卫生等部门的救济职责和受害人员申请救济的程序，确保事故灾难发生后，救济工作及时到位。</w:t>
      </w:r>
    </w:p>
    <w:p w14:paraId="604DAEBF">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258" w:name="_Toc195289350"/>
      <w:bookmarkStart w:id="259" w:name="_Toc14423"/>
      <w:bookmarkStart w:id="260" w:name="_Toc5988"/>
      <w:bookmarkStart w:id="261" w:name="_Toc9896"/>
      <w:bookmarkStart w:id="262" w:name="_Toc25934995"/>
      <w:bookmarkStart w:id="263" w:name="_Toc20419"/>
      <w:bookmarkStart w:id="264" w:name="_Toc12281"/>
      <w:r>
        <w:rPr>
          <w:rFonts w:hint="eastAsia" w:ascii="楷体" w:hAnsi="楷体" w:eastAsia="楷体" w:cs="楷体"/>
          <w:b w:val="0"/>
          <w:color w:val="000000" w:themeColor="text1"/>
          <w:lang w:val="en-US"/>
          <w14:textFill>
            <w14:solidFill>
              <w14:schemeClr w14:val="tx1"/>
            </w14:solidFill>
          </w14:textFill>
        </w:rPr>
        <w:t>6.3 事故的调查</w:t>
      </w:r>
      <w:bookmarkEnd w:id="258"/>
      <w:bookmarkEnd w:id="259"/>
      <w:bookmarkEnd w:id="260"/>
      <w:bookmarkEnd w:id="261"/>
      <w:bookmarkEnd w:id="262"/>
      <w:bookmarkEnd w:id="263"/>
      <w:bookmarkEnd w:id="264"/>
    </w:p>
    <w:p w14:paraId="181F1CEB">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县政府授权相关行业主管部门牵头成立事故调查组，开展事故调查和善后处置，对事发原因、处置经过、损失、责任部门奖惩、援助需求等做出综合调查评估，调查组及时将事故调查报告报到县政府。</w:t>
      </w:r>
    </w:p>
    <w:p w14:paraId="1F35B778">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参与应急救援工作的应急工作组应对本组应急处置工作及时进行总结，由县安消委办汇总，并书面报县安消委会，对应急救援能力进行评估，对应急预案存在的不足进行修正。</w:t>
      </w:r>
    </w:p>
    <w:p w14:paraId="6ACC4784">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265" w:name="_Toc25934997"/>
      <w:bookmarkStart w:id="266" w:name="_Toc30044"/>
      <w:bookmarkStart w:id="267" w:name="_Toc26202"/>
      <w:bookmarkStart w:id="268" w:name="_Toc27151"/>
      <w:bookmarkStart w:id="269" w:name="_Toc195289351"/>
      <w:bookmarkStart w:id="270" w:name="_Toc2699"/>
      <w:bookmarkStart w:id="271" w:name="_Toc15793"/>
      <w:bookmarkStart w:id="272" w:name="_Hlk186232668"/>
      <w:r>
        <w:rPr>
          <w:rFonts w:hint="eastAsia" w:ascii="楷体" w:hAnsi="楷体" w:eastAsia="楷体" w:cs="楷体"/>
          <w:b w:val="0"/>
          <w:color w:val="000000" w:themeColor="text1"/>
          <w:lang w:val="en-US"/>
          <w14:textFill>
            <w14:solidFill>
              <w14:schemeClr w14:val="tx1"/>
            </w14:solidFill>
          </w14:textFill>
        </w:rPr>
        <w:t>6.4 奖惩制度</w:t>
      </w:r>
      <w:bookmarkEnd w:id="265"/>
      <w:bookmarkEnd w:id="266"/>
      <w:bookmarkEnd w:id="267"/>
      <w:bookmarkEnd w:id="268"/>
      <w:bookmarkEnd w:id="269"/>
      <w:bookmarkEnd w:id="270"/>
      <w:bookmarkEnd w:id="271"/>
    </w:p>
    <w:p w14:paraId="39E07363">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危险化学品生产安全事故应急处置工作实行行政领导负责制和责任追究制，按有关规定进行表彰、奖励和责任追究。</w:t>
      </w:r>
    </w:p>
    <w:p w14:paraId="72B76E1C">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政府对救援工作和事故调查中做出突出贡献的先进集体和个人，给予表彰或奖励；对迟报、漏报、瞒报和谎报事故重要情况或者应急救援工作中有其他失职、渎职行为的，依法对有关责任人给予行政处分；构成犯罪的，依法追究刑事责任</w:t>
      </w:r>
      <w:bookmarkEnd w:id="272"/>
      <w:r>
        <w:rPr>
          <w:rFonts w:hint="eastAsia" w:ascii="仿宋_GB2312" w:hAnsi="仿宋" w:eastAsia="仿宋_GB2312"/>
          <w:sz w:val="32"/>
          <w:szCs w:val="32"/>
        </w:rPr>
        <w:t>。</w:t>
      </w:r>
    </w:p>
    <w:p w14:paraId="02081D84">
      <w:pPr>
        <w:pStyle w:val="2"/>
        <w:pageBreakBefore w:val="0"/>
        <w:overflowPunct w:val="0"/>
        <w:topLinePunct/>
        <w:autoSpaceDE/>
        <w:autoSpaceDN/>
        <w:spacing w:beforeLines="0" w:after="0" w:afterLines="0" w:line="520" w:lineRule="exact"/>
        <w:ind w:firstLine="616" w:firstLineChars="200"/>
        <w:jc w:val="both"/>
        <w:rPr>
          <w:rFonts w:ascii="黑体" w:hAnsi="黑体" w:eastAsia="黑体" w:cs="Times New Roman"/>
          <w:b w:val="0"/>
          <w:bCs w:val="0"/>
          <w:spacing w:val="-6"/>
          <w:kern w:val="2"/>
          <w:sz w:val="32"/>
          <w:szCs w:val="32"/>
          <w:lang w:val="en-US" w:bidi="ar-SA"/>
        </w:rPr>
      </w:pPr>
      <w:bookmarkStart w:id="273" w:name="_bookmark17"/>
      <w:bookmarkEnd w:id="273"/>
      <w:bookmarkStart w:id="274" w:name="6.1通信与信息保障"/>
      <w:bookmarkEnd w:id="274"/>
      <w:bookmarkStart w:id="275" w:name="6.3应急物资及装备保障"/>
      <w:bookmarkEnd w:id="275"/>
      <w:bookmarkStart w:id="276" w:name="6.2应急救援队伍保障"/>
      <w:bookmarkEnd w:id="276"/>
      <w:bookmarkStart w:id="277" w:name="6.4交通运输保障"/>
      <w:bookmarkEnd w:id="277"/>
      <w:bookmarkStart w:id="278" w:name="_Toc195289352"/>
      <w:bookmarkStart w:id="279" w:name="_Toc17433"/>
      <w:bookmarkStart w:id="280" w:name="_Toc26010"/>
      <w:bookmarkStart w:id="281" w:name="_Toc25934998"/>
      <w:bookmarkStart w:id="282" w:name="_Toc28634"/>
      <w:bookmarkStart w:id="283" w:name="_Toc1930"/>
      <w:bookmarkStart w:id="284" w:name="_Toc19931"/>
      <w:r>
        <w:rPr>
          <w:rFonts w:hint="eastAsia" w:ascii="黑体" w:hAnsi="黑体" w:eastAsia="黑体" w:cs="Times New Roman"/>
          <w:b w:val="0"/>
          <w:bCs w:val="0"/>
          <w:spacing w:val="-6"/>
          <w:kern w:val="2"/>
          <w:sz w:val="32"/>
          <w:szCs w:val="32"/>
          <w:lang w:val="en-US" w:bidi="ar-SA"/>
        </w:rPr>
        <w:t>7 应急保障</w:t>
      </w:r>
      <w:bookmarkEnd w:id="278"/>
      <w:bookmarkEnd w:id="279"/>
      <w:bookmarkEnd w:id="280"/>
      <w:bookmarkEnd w:id="281"/>
      <w:bookmarkEnd w:id="282"/>
      <w:bookmarkEnd w:id="283"/>
      <w:bookmarkEnd w:id="284"/>
    </w:p>
    <w:p w14:paraId="0C60EF74">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285" w:name="_Toc25081"/>
      <w:bookmarkStart w:id="286" w:name="_Toc29993"/>
      <w:bookmarkStart w:id="287" w:name="_Toc17048"/>
      <w:bookmarkStart w:id="288" w:name="_Toc29265"/>
      <w:bookmarkStart w:id="289" w:name="_Toc195289353"/>
      <w:bookmarkStart w:id="290" w:name="_Toc13771"/>
      <w:bookmarkStart w:id="291" w:name="_Toc25934999"/>
      <w:r>
        <w:rPr>
          <w:rFonts w:hint="eastAsia" w:ascii="楷体" w:hAnsi="楷体" w:eastAsia="楷体" w:cs="楷体"/>
          <w:b w:val="0"/>
          <w:color w:val="000000" w:themeColor="text1"/>
          <w:lang w:val="en-US"/>
          <w14:textFill>
            <w14:solidFill>
              <w14:schemeClr w14:val="tx1"/>
            </w14:solidFill>
          </w14:textFill>
        </w:rPr>
        <w:t>7.1 通信与信息保障</w:t>
      </w:r>
      <w:bookmarkEnd w:id="285"/>
      <w:bookmarkEnd w:id="286"/>
      <w:bookmarkEnd w:id="287"/>
      <w:bookmarkEnd w:id="288"/>
      <w:bookmarkEnd w:id="289"/>
      <w:bookmarkEnd w:id="290"/>
      <w:bookmarkEnd w:id="291"/>
    </w:p>
    <w:p w14:paraId="7DCEE5D8">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各现场工作组成员保证通信畅通，由县安消委办负责联系。</w:t>
      </w:r>
    </w:p>
    <w:p w14:paraId="055482DA">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292" w:name="_Toc195289354"/>
      <w:bookmarkStart w:id="293" w:name="_Toc14340"/>
      <w:bookmarkStart w:id="294" w:name="_Toc7298"/>
      <w:bookmarkStart w:id="295" w:name="_Toc31871"/>
      <w:bookmarkStart w:id="296" w:name="_Toc25935000"/>
      <w:bookmarkStart w:id="297" w:name="_Toc1711"/>
      <w:bookmarkStart w:id="298" w:name="_Toc10688"/>
      <w:r>
        <w:rPr>
          <w:rFonts w:hint="eastAsia" w:ascii="楷体" w:hAnsi="楷体" w:eastAsia="楷体" w:cs="楷体"/>
          <w:b w:val="0"/>
          <w:color w:val="000000" w:themeColor="text1"/>
          <w:lang w:val="en-US"/>
          <w14:textFill>
            <w14:solidFill>
              <w14:schemeClr w14:val="tx1"/>
            </w14:solidFill>
          </w14:textFill>
        </w:rPr>
        <w:t>7.2 应急救援队伍保障</w:t>
      </w:r>
      <w:bookmarkEnd w:id="292"/>
      <w:bookmarkEnd w:id="293"/>
      <w:bookmarkEnd w:id="294"/>
      <w:bookmarkEnd w:id="295"/>
      <w:bookmarkEnd w:id="296"/>
      <w:bookmarkEnd w:id="297"/>
      <w:bookmarkEnd w:id="298"/>
    </w:p>
    <w:p w14:paraId="162CA569">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危险化学品事故应急救援过程中涉及应急队伍保障的，由县公安局、县消防救援局和环保局等单位组成。必要时，报请县安消委会，协调其他相关单位支援危险化学品事故抢险救援工作。</w:t>
      </w:r>
    </w:p>
    <w:p w14:paraId="49D27A2C">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299" w:name="_Toc27120"/>
      <w:bookmarkStart w:id="300" w:name="_Toc7339"/>
      <w:bookmarkStart w:id="301" w:name="_Toc25935001"/>
      <w:bookmarkStart w:id="302" w:name="_Toc195289355"/>
      <w:bookmarkStart w:id="303" w:name="_Toc29128"/>
      <w:bookmarkStart w:id="304" w:name="_Toc15327"/>
      <w:bookmarkStart w:id="305" w:name="_Toc22824"/>
      <w:r>
        <w:rPr>
          <w:rFonts w:hint="eastAsia" w:ascii="楷体" w:hAnsi="楷体" w:eastAsia="楷体" w:cs="楷体"/>
          <w:b w:val="0"/>
          <w:color w:val="000000" w:themeColor="text1"/>
          <w:lang w:val="en-US"/>
          <w14:textFill>
            <w14:solidFill>
              <w14:schemeClr w14:val="tx1"/>
            </w14:solidFill>
          </w14:textFill>
        </w:rPr>
        <w:t>7.3 应急物资及装备保障</w:t>
      </w:r>
      <w:bookmarkEnd w:id="299"/>
      <w:bookmarkEnd w:id="300"/>
      <w:bookmarkEnd w:id="301"/>
      <w:bookmarkEnd w:id="302"/>
      <w:bookmarkEnd w:id="303"/>
      <w:bookmarkEnd w:id="304"/>
      <w:bookmarkEnd w:id="305"/>
    </w:p>
    <w:p w14:paraId="2AA5B956">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事发地政府应在应急指挥部的指挥下，协调必要的应急救援装备保障。应急救援装备、物资、药品、消防器材、个体防护用品（具）均应配置齐全，并按规定定期检查维护保养，使其经常处于良好备用状态。</w:t>
      </w:r>
    </w:p>
    <w:p w14:paraId="32C3D96E">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306" w:name="_Toc20166"/>
      <w:bookmarkStart w:id="307" w:name="_Toc25935002"/>
      <w:bookmarkStart w:id="308" w:name="_Toc195289356"/>
      <w:bookmarkStart w:id="309" w:name="_Toc13791"/>
      <w:bookmarkStart w:id="310" w:name="_Toc14101"/>
      <w:bookmarkStart w:id="311" w:name="_Toc1372"/>
      <w:bookmarkStart w:id="312" w:name="_Toc11492"/>
      <w:r>
        <w:rPr>
          <w:rFonts w:hint="eastAsia" w:ascii="楷体" w:hAnsi="楷体" w:eastAsia="楷体" w:cs="楷体"/>
          <w:b w:val="0"/>
          <w:color w:val="000000" w:themeColor="text1"/>
          <w:lang w:val="en-US"/>
          <w14:textFill>
            <w14:solidFill>
              <w14:schemeClr w14:val="tx1"/>
            </w14:solidFill>
          </w14:textFill>
        </w:rPr>
        <w:t>7.4 交通运输保障</w:t>
      </w:r>
      <w:bookmarkEnd w:id="306"/>
      <w:bookmarkEnd w:id="307"/>
      <w:bookmarkEnd w:id="308"/>
      <w:bookmarkEnd w:id="309"/>
      <w:bookmarkEnd w:id="310"/>
      <w:bookmarkEnd w:id="311"/>
      <w:bookmarkEnd w:id="312"/>
    </w:p>
    <w:p w14:paraId="1E792BDA">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危险化学品事故应急救援过程中涉及交通运输及管制的，由县交通运输局、县公安局提供保障。</w:t>
      </w:r>
    </w:p>
    <w:p w14:paraId="29940A56">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313" w:name="6.7物资保障"/>
      <w:bookmarkEnd w:id="313"/>
      <w:bookmarkStart w:id="314" w:name="6.5医疗卫生保障"/>
      <w:bookmarkEnd w:id="314"/>
      <w:bookmarkStart w:id="315" w:name="_bookmark18"/>
      <w:bookmarkEnd w:id="315"/>
      <w:bookmarkStart w:id="316" w:name="6.6治安保障"/>
      <w:bookmarkEnd w:id="316"/>
      <w:bookmarkStart w:id="317" w:name="_Toc28521"/>
      <w:bookmarkStart w:id="318" w:name="_Toc8953"/>
      <w:bookmarkStart w:id="319" w:name="_Toc195289357"/>
      <w:bookmarkStart w:id="320" w:name="_Toc16758"/>
      <w:bookmarkStart w:id="321" w:name="_Toc4854"/>
      <w:bookmarkStart w:id="322" w:name="_Toc25935003"/>
      <w:bookmarkStart w:id="323" w:name="_Toc26968"/>
      <w:r>
        <w:rPr>
          <w:rFonts w:hint="eastAsia" w:ascii="楷体" w:hAnsi="楷体" w:eastAsia="楷体" w:cs="楷体"/>
          <w:b w:val="0"/>
          <w:color w:val="000000" w:themeColor="text1"/>
          <w:lang w:val="en-US"/>
          <w14:textFill>
            <w14:solidFill>
              <w14:schemeClr w14:val="tx1"/>
            </w14:solidFill>
          </w14:textFill>
        </w:rPr>
        <w:t>7.5 医疗卫生保障</w:t>
      </w:r>
      <w:bookmarkEnd w:id="317"/>
      <w:bookmarkEnd w:id="318"/>
      <w:bookmarkEnd w:id="319"/>
      <w:bookmarkEnd w:id="320"/>
      <w:bookmarkEnd w:id="321"/>
      <w:bookmarkEnd w:id="322"/>
      <w:bookmarkEnd w:id="323"/>
    </w:p>
    <w:p w14:paraId="2F5D4B4D">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危险化学品事故应急救援过程中涉及医疗卫生保障的，由县卫生健康委提供医疗救治单位保障。</w:t>
      </w:r>
    </w:p>
    <w:p w14:paraId="291E9C72">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324" w:name="_Toc2140"/>
      <w:bookmarkStart w:id="325" w:name="_Toc18186"/>
      <w:bookmarkStart w:id="326" w:name="_Toc25935004"/>
      <w:bookmarkStart w:id="327" w:name="_Toc12292"/>
      <w:bookmarkStart w:id="328" w:name="_Toc20213"/>
      <w:bookmarkStart w:id="329" w:name="_Toc195289358"/>
      <w:bookmarkStart w:id="330" w:name="_Toc23596"/>
      <w:r>
        <w:rPr>
          <w:rFonts w:hint="eastAsia" w:ascii="楷体" w:hAnsi="楷体" w:eastAsia="楷体" w:cs="楷体"/>
          <w:b w:val="0"/>
          <w:color w:val="000000" w:themeColor="text1"/>
          <w:lang w:val="en-US"/>
          <w14:textFill>
            <w14:solidFill>
              <w14:schemeClr w14:val="tx1"/>
            </w14:solidFill>
          </w14:textFill>
        </w:rPr>
        <w:t>7.6 治安保障</w:t>
      </w:r>
      <w:bookmarkEnd w:id="324"/>
      <w:bookmarkEnd w:id="325"/>
      <w:bookmarkEnd w:id="326"/>
      <w:bookmarkEnd w:id="327"/>
      <w:bookmarkEnd w:id="328"/>
      <w:bookmarkEnd w:id="329"/>
      <w:bookmarkEnd w:id="330"/>
    </w:p>
    <w:p w14:paraId="1664823B">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危险化学品事故应急救援过程中涉及治安秩序保障的，由县公安局进行保障。</w:t>
      </w:r>
    </w:p>
    <w:p w14:paraId="28E4C97B">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331" w:name="_Toc30380"/>
      <w:bookmarkStart w:id="332" w:name="_Toc18275"/>
      <w:bookmarkStart w:id="333" w:name="_Toc25935005"/>
      <w:bookmarkStart w:id="334" w:name="_Toc25343"/>
      <w:bookmarkStart w:id="335" w:name="_Toc14454"/>
      <w:bookmarkStart w:id="336" w:name="_Toc195289359"/>
      <w:bookmarkStart w:id="337" w:name="_Toc22994"/>
      <w:r>
        <w:rPr>
          <w:rFonts w:hint="eastAsia" w:ascii="楷体" w:hAnsi="楷体" w:eastAsia="楷体" w:cs="楷体"/>
          <w:b w:val="0"/>
          <w:color w:val="000000" w:themeColor="text1"/>
          <w:lang w:val="en-US"/>
          <w14:textFill>
            <w14:solidFill>
              <w14:schemeClr w14:val="tx1"/>
            </w14:solidFill>
          </w14:textFill>
        </w:rPr>
        <w:t>7.7 物资保障</w:t>
      </w:r>
      <w:bookmarkEnd w:id="331"/>
      <w:bookmarkEnd w:id="332"/>
      <w:bookmarkEnd w:id="333"/>
      <w:bookmarkEnd w:id="334"/>
      <w:bookmarkEnd w:id="335"/>
      <w:bookmarkEnd w:id="336"/>
      <w:bookmarkEnd w:id="337"/>
    </w:p>
    <w:p w14:paraId="6C12486D">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事故应急救援过程中涉及物资需求保障的，如：危化品泄漏、燃爆、气体中毒等发生相关危化品安全事故需要用到的相关物资，由县应急管理局和县消防救援局提供需求物资的调配、车辆的调动、应急物资的运输、人员的疏散撤离，以及应急救援人员、受伤中毒人员、转移疏散人员的生活必需品的供应。</w:t>
      </w:r>
    </w:p>
    <w:p w14:paraId="14716826">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338" w:name="_Toc24814"/>
      <w:bookmarkStart w:id="339" w:name="_Toc11308"/>
      <w:bookmarkStart w:id="340" w:name="_Toc17732"/>
      <w:bookmarkStart w:id="341" w:name="_Toc8771"/>
      <w:bookmarkStart w:id="342" w:name="_Toc31110"/>
      <w:bookmarkStart w:id="343" w:name="_Toc31909"/>
      <w:bookmarkStart w:id="344" w:name="_Toc13239"/>
      <w:bookmarkStart w:id="345" w:name="_Toc195289360"/>
      <w:bookmarkStart w:id="346" w:name="_Toc25935006"/>
      <w:r>
        <w:rPr>
          <w:rFonts w:hint="eastAsia" w:ascii="楷体" w:hAnsi="楷体" w:eastAsia="楷体" w:cs="楷体"/>
          <w:b w:val="0"/>
          <w:color w:val="000000" w:themeColor="text1"/>
          <w:lang w:val="en-US"/>
          <w14:textFill>
            <w14:solidFill>
              <w14:schemeClr w14:val="tx1"/>
            </w14:solidFill>
          </w14:textFill>
        </w:rPr>
        <w:t>7.8 技术保障</w:t>
      </w:r>
      <w:bookmarkEnd w:id="338"/>
      <w:bookmarkEnd w:id="339"/>
      <w:bookmarkEnd w:id="340"/>
      <w:bookmarkEnd w:id="341"/>
      <w:bookmarkEnd w:id="342"/>
      <w:bookmarkEnd w:id="343"/>
      <w:bookmarkEnd w:id="344"/>
      <w:bookmarkEnd w:id="345"/>
      <w:bookmarkEnd w:id="346"/>
    </w:p>
    <w:p w14:paraId="5DB538AB">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公安局、县应急管理局、县生态环境局、县住房和城乡建设局、县市场监督管理局等部门加强危险化学品生产安全事故应急处置方法、技术和装备的研究。县应急管理局依托省危险化学品应急专家库专家，为事故处置提供技术咨询。</w:t>
      </w:r>
    </w:p>
    <w:p w14:paraId="0C4BE12D">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347" w:name="_Toc23910"/>
      <w:bookmarkStart w:id="348" w:name="_Toc12284"/>
      <w:bookmarkStart w:id="349" w:name="_Toc25935007"/>
      <w:bookmarkStart w:id="350" w:name="_Toc14736"/>
      <w:bookmarkStart w:id="351" w:name="_Toc26188"/>
      <w:bookmarkStart w:id="352" w:name="_Toc19446"/>
      <w:bookmarkStart w:id="353" w:name="_Toc1326"/>
      <w:bookmarkStart w:id="354" w:name="_Toc195289361"/>
      <w:bookmarkStart w:id="355" w:name="_Toc8026"/>
      <w:r>
        <w:rPr>
          <w:rFonts w:hint="eastAsia" w:ascii="楷体" w:hAnsi="楷体" w:eastAsia="楷体" w:cs="楷体"/>
          <w:b w:val="0"/>
          <w:color w:val="000000" w:themeColor="text1"/>
          <w:lang w:val="en-US"/>
          <w14:textFill>
            <w14:solidFill>
              <w14:schemeClr w14:val="tx1"/>
            </w14:solidFill>
          </w14:textFill>
        </w:rPr>
        <w:t>7.9 医疗保障</w:t>
      </w:r>
      <w:bookmarkEnd w:id="347"/>
      <w:bookmarkEnd w:id="348"/>
      <w:bookmarkEnd w:id="349"/>
      <w:bookmarkEnd w:id="350"/>
      <w:bookmarkEnd w:id="351"/>
      <w:bookmarkEnd w:id="352"/>
      <w:bookmarkEnd w:id="353"/>
      <w:bookmarkEnd w:id="354"/>
      <w:bookmarkEnd w:id="355"/>
    </w:p>
    <w:p w14:paraId="560A21C9">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县卫生健康委组织协调各级医疗救护队伍实施医疗救治，并根据危险化学品事故造成人员伤亡的特点，落实专门救治医院， 配备相应药品和器材。</w:t>
      </w:r>
    </w:p>
    <w:p w14:paraId="5DBEFCD3">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356" w:name="_Toc5870"/>
      <w:bookmarkStart w:id="357" w:name="_Toc15903"/>
      <w:bookmarkStart w:id="358" w:name="_Toc25951"/>
      <w:bookmarkStart w:id="359" w:name="_Toc25935008"/>
      <w:bookmarkStart w:id="360" w:name="_Toc10312"/>
      <w:bookmarkStart w:id="361" w:name="_Toc28818"/>
      <w:bookmarkStart w:id="362" w:name="_Toc28767"/>
      <w:bookmarkStart w:id="363" w:name="_Toc195289362"/>
      <w:bookmarkStart w:id="364" w:name="_Toc9342"/>
      <w:r>
        <w:rPr>
          <w:rFonts w:hint="eastAsia" w:ascii="楷体" w:hAnsi="楷体" w:eastAsia="楷体" w:cs="楷体"/>
          <w:b w:val="0"/>
          <w:color w:val="000000" w:themeColor="text1"/>
          <w:lang w:val="en-US"/>
          <w14:textFill>
            <w14:solidFill>
              <w14:schemeClr w14:val="tx1"/>
            </w14:solidFill>
          </w14:textFill>
        </w:rPr>
        <w:t>7.10 资金保障</w:t>
      </w:r>
      <w:bookmarkEnd w:id="356"/>
      <w:bookmarkEnd w:id="357"/>
      <w:bookmarkEnd w:id="358"/>
      <w:bookmarkEnd w:id="359"/>
      <w:bookmarkEnd w:id="360"/>
      <w:bookmarkEnd w:id="361"/>
      <w:bookmarkEnd w:id="362"/>
      <w:bookmarkEnd w:id="363"/>
      <w:bookmarkEnd w:id="364"/>
    </w:p>
    <w:p w14:paraId="02F61E92">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处置危险化学品生产安全事故所需财政负担的经费，按照现行事权、财权划分原则，分级负担。各级（单位）财政应建立完善应急经费快速拨付机制。</w:t>
      </w:r>
    </w:p>
    <w:p w14:paraId="36FF7A71">
      <w:pPr>
        <w:pStyle w:val="2"/>
        <w:pageBreakBefore w:val="0"/>
        <w:overflowPunct w:val="0"/>
        <w:topLinePunct/>
        <w:autoSpaceDE/>
        <w:autoSpaceDN/>
        <w:spacing w:beforeLines="0" w:after="0" w:afterLines="0" w:line="520" w:lineRule="exact"/>
        <w:ind w:firstLine="616" w:firstLineChars="200"/>
        <w:jc w:val="both"/>
        <w:rPr>
          <w:rFonts w:ascii="黑体" w:hAnsi="黑体" w:eastAsia="黑体" w:cs="Times New Roman"/>
          <w:b w:val="0"/>
          <w:bCs w:val="0"/>
          <w:spacing w:val="-6"/>
          <w:kern w:val="2"/>
          <w:sz w:val="32"/>
          <w:szCs w:val="32"/>
          <w:lang w:val="en-US" w:bidi="ar-SA"/>
        </w:rPr>
      </w:pPr>
      <w:bookmarkStart w:id="365" w:name="7.1宣传"/>
      <w:bookmarkEnd w:id="365"/>
      <w:bookmarkStart w:id="366" w:name="7.2培训"/>
      <w:bookmarkEnd w:id="366"/>
      <w:bookmarkStart w:id="367" w:name="_bookmark20"/>
      <w:bookmarkEnd w:id="367"/>
      <w:bookmarkStart w:id="368" w:name="_Toc22769"/>
      <w:bookmarkStart w:id="369" w:name="_Toc2978"/>
      <w:bookmarkStart w:id="370" w:name="_Toc6010"/>
      <w:bookmarkStart w:id="371" w:name="_Toc16872"/>
      <w:bookmarkStart w:id="372" w:name="_Toc25935009"/>
      <w:bookmarkStart w:id="373" w:name="_Toc32384"/>
      <w:bookmarkStart w:id="374" w:name="_Toc195289363"/>
      <w:r>
        <w:rPr>
          <w:rFonts w:hint="eastAsia" w:ascii="黑体" w:hAnsi="黑体" w:eastAsia="黑体" w:cs="Times New Roman"/>
          <w:b w:val="0"/>
          <w:bCs w:val="0"/>
          <w:spacing w:val="-6"/>
          <w:kern w:val="2"/>
          <w:sz w:val="32"/>
          <w:szCs w:val="32"/>
          <w:lang w:val="en-US" w:bidi="ar-SA"/>
        </w:rPr>
        <w:t xml:space="preserve">8 </w:t>
      </w:r>
      <w:bookmarkEnd w:id="368"/>
      <w:bookmarkEnd w:id="369"/>
      <w:bookmarkEnd w:id="370"/>
      <w:bookmarkEnd w:id="371"/>
      <w:bookmarkEnd w:id="372"/>
      <w:bookmarkEnd w:id="373"/>
      <w:r>
        <w:rPr>
          <w:rFonts w:hint="eastAsia" w:ascii="黑体" w:hAnsi="黑体" w:eastAsia="黑体" w:cs="Times New Roman"/>
          <w:b w:val="0"/>
          <w:bCs w:val="0"/>
          <w:spacing w:val="-6"/>
          <w:kern w:val="2"/>
          <w:sz w:val="32"/>
          <w:szCs w:val="32"/>
          <w:lang w:val="en-US" w:bidi="ar-SA"/>
        </w:rPr>
        <w:t>预案管理</w:t>
      </w:r>
      <w:bookmarkEnd w:id="374"/>
    </w:p>
    <w:p w14:paraId="02090BC3">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375" w:name="_Toc25935010"/>
      <w:bookmarkStart w:id="376" w:name="_Toc24569"/>
      <w:bookmarkStart w:id="377" w:name="_Toc2666"/>
      <w:bookmarkStart w:id="378" w:name="_Toc8661"/>
      <w:bookmarkStart w:id="379" w:name="_Toc26531"/>
      <w:bookmarkStart w:id="380" w:name="_Toc24886"/>
      <w:bookmarkStart w:id="381" w:name="_Toc195289364"/>
      <w:r>
        <w:rPr>
          <w:rFonts w:hint="eastAsia" w:ascii="楷体" w:hAnsi="楷体" w:eastAsia="楷体" w:cs="楷体"/>
          <w:b w:val="0"/>
          <w:color w:val="000000" w:themeColor="text1"/>
          <w:lang w:val="en-US"/>
          <w14:textFill>
            <w14:solidFill>
              <w14:schemeClr w14:val="tx1"/>
            </w14:solidFill>
          </w14:textFill>
        </w:rPr>
        <w:t xml:space="preserve">8.1 </w:t>
      </w:r>
      <w:bookmarkEnd w:id="375"/>
      <w:bookmarkEnd w:id="376"/>
      <w:bookmarkEnd w:id="377"/>
      <w:bookmarkEnd w:id="378"/>
      <w:bookmarkEnd w:id="379"/>
      <w:bookmarkEnd w:id="380"/>
      <w:r>
        <w:rPr>
          <w:rFonts w:hint="eastAsia" w:ascii="楷体" w:hAnsi="楷体" w:eastAsia="楷体" w:cs="楷体"/>
          <w:b w:val="0"/>
          <w:color w:val="000000" w:themeColor="text1"/>
          <w:lang w:val="en-US"/>
          <w14:textFill>
            <w14:solidFill>
              <w14:schemeClr w14:val="tx1"/>
            </w14:solidFill>
          </w14:textFill>
        </w:rPr>
        <w:t>应急演练</w:t>
      </w:r>
      <w:bookmarkEnd w:id="381"/>
    </w:p>
    <w:p w14:paraId="3014DFA1">
      <w:pPr>
        <w:pStyle w:val="10"/>
        <w:spacing w:line="520" w:lineRule="exact"/>
        <w:ind w:left="0" w:leftChars="0" w:right="0" w:rightChars="0" w:firstLine="640"/>
        <w:jc w:val="both"/>
        <w:rPr>
          <w:rFonts w:ascii="仿宋_GB2312" w:hAnsi="仿宋" w:eastAsia="仿宋_GB2312"/>
          <w:sz w:val="32"/>
          <w:szCs w:val="32"/>
        </w:rPr>
      </w:pPr>
      <w:bookmarkStart w:id="382" w:name="_Hlk186233201"/>
      <w:r>
        <w:rPr>
          <w:rFonts w:hint="eastAsia" w:ascii="仿宋_GB2312" w:hAnsi="仿宋" w:eastAsia="仿宋_GB2312"/>
          <w:sz w:val="32"/>
          <w:szCs w:val="32"/>
        </w:rPr>
        <w:t>县应急管理局及有关部门不定期组织开展本预案演练，并加强对应急演练工作的督查指导。本预案演练应当至少每</w:t>
      </w:r>
      <w:r>
        <w:rPr>
          <w:rFonts w:ascii="仿宋_GB2312" w:hAnsi="仿宋" w:eastAsia="仿宋_GB2312"/>
          <w:sz w:val="32"/>
          <w:szCs w:val="32"/>
        </w:rPr>
        <w:t>2年组织</w:t>
      </w:r>
      <w:r>
        <w:rPr>
          <w:rFonts w:hint="eastAsia" w:ascii="仿宋_GB2312" w:hAnsi="仿宋" w:eastAsia="仿宋_GB2312"/>
          <w:sz w:val="32"/>
          <w:szCs w:val="32"/>
        </w:rPr>
        <w:t>1</w:t>
      </w:r>
      <w:r>
        <w:rPr>
          <w:rFonts w:ascii="仿宋_GB2312" w:hAnsi="仿宋" w:eastAsia="仿宋_GB2312"/>
          <w:sz w:val="32"/>
          <w:szCs w:val="32"/>
        </w:rPr>
        <w:t>次，演练结束后，</w:t>
      </w:r>
      <w:r>
        <w:rPr>
          <w:rFonts w:hint="eastAsia" w:ascii="仿宋_GB2312" w:hAnsi="仿宋" w:eastAsia="仿宋_GB2312"/>
          <w:sz w:val="32"/>
          <w:szCs w:val="32"/>
        </w:rPr>
        <w:t>县应急管理局</w:t>
      </w:r>
      <w:r>
        <w:rPr>
          <w:rFonts w:ascii="仿宋_GB2312" w:hAnsi="仿宋" w:eastAsia="仿宋_GB2312"/>
          <w:sz w:val="32"/>
          <w:szCs w:val="32"/>
        </w:rPr>
        <w:t>及参演单位应对演练效果进行评价，及时分析问题、整改完善</w:t>
      </w:r>
      <w:bookmarkEnd w:id="382"/>
      <w:r>
        <w:rPr>
          <w:rFonts w:hint="eastAsia" w:ascii="仿宋_GB2312" w:hAnsi="仿宋" w:eastAsia="仿宋_GB2312"/>
          <w:sz w:val="32"/>
          <w:szCs w:val="32"/>
        </w:rPr>
        <w:t>。</w:t>
      </w:r>
    </w:p>
    <w:p w14:paraId="2BD3E847">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383" w:name="_Toc195289365"/>
      <w:bookmarkStart w:id="384" w:name="_Toc2840"/>
      <w:bookmarkStart w:id="385" w:name="_Toc20924"/>
      <w:bookmarkStart w:id="386" w:name="_Toc5885"/>
      <w:bookmarkStart w:id="387" w:name="_Toc28288"/>
      <w:bookmarkStart w:id="388" w:name="_Toc25935011"/>
      <w:bookmarkStart w:id="389" w:name="_Toc11895"/>
      <w:r>
        <w:rPr>
          <w:rFonts w:hint="eastAsia" w:ascii="楷体" w:hAnsi="楷体" w:eastAsia="楷体" w:cs="楷体"/>
          <w:b w:val="0"/>
          <w:color w:val="000000" w:themeColor="text1"/>
          <w:lang w:val="en-US"/>
          <w14:textFill>
            <w14:solidFill>
              <w14:schemeClr w14:val="tx1"/>
            </w14:solidFill>
          </w14:textFill>
        </w:rPr>
        <w:t>8.2 宣传培训</w:t>
      </w:r>
      <w:bookmarkEnd w:id="383"/>
      <w:bookmarkEnd w:id="384"/>
      <w:bookmarkEnd w:id="385"/>
      <w:bookmarkEnd w:id="386"/>
      <w:bookmarkEnd w:id="387"/>
      <w:bookmarkEnd w:id="388"/>
      <w:bookmarkEnd w:id="389"/>
    </w:p>
    <w:p w14:paraId="7B82AC87">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县应急管理局、危化品从业单位应广泛宣传应急法律法规、培训员工事故预防、避险、避灾、自救、互救常识，增强全体员工的危机意识；与所在乡镇（新星居）建立互动机制，利用各种媒体向周边群众宣传相关应急知识。</w:t>
      </w:r>
    </w:p>
    <w:p w14:paraId="5F21B4D9">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经常组织危险化学品生产、经营单位和职能部门领导、应急管理和救援人员参加上岗前和常识性培训。</w:t>
      </w:r>
    </w:p>
    <w:p w14:paraId="2B23C1C6">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危险化学品事故应急预案发布后，各企业单位和各个职能部门按照计划组织全体人员进行有效培训，从而具备完成应急救援任务所需的知识和技能要加强对各救援队伍的培训，每年对应急救援人员至少进行1次培训。做到四懂（懂危险化学品的危险性、懂预防措施、懂安全处置、懂逃生方法），四会（会报警、会使用灭火器、会灭初期火、会逃生）。</w:t>
      </w:r>
    </w:p>
    <w:p w14:paraId="15CD93B6">
      <w:pPr>
        <w:pStyle w:val="10"/>
        <w:spacing w:line="520" w:lineRule="exact"/>
        <w:ind w:left="0" w:leftChars="0" w:right="0" w:rightChars="0" w:firstLine="640"/>
        <w:jc w:val="both"/>
        <w:rPr>
          <w:rFonts w:ascii="仿宋_GB2312" w:hAnsi="仿宋" w:eastAsia="仿宋_GB2312"/>
          <w:sz w:val="32"/>
          <w:szCs w:val="32"/>
        </w:rPr>
      </w:pPr>
      <w:bookmarkStart w:id="390" w:name="_Hlk186233318"/>
      <w:r>
        <w:rPr>
          <w:rFonts w:hint="eastAsia" w:ascii="仿宋_GB2312" w:hAnsi="仿宋" w:eastAsia="仿宋_GB2312"/>
          <w:sz w:val="32"/>
          <w:szCs w:val="32"/>
        </w:rPr>
        <w:t>另外，应注意加强企事业单位或周边人员应急响应知识的宣传教育与告知等工作，通过板报、传单、讲课等形式，使企事业单位或周边人员了解危险化学品事故防范措施</w:t>
      </w:r>
      <w:bookmarkEnd w:id="390"/>
      <w:r>
        <w:rPr>
          <w:rFonts w:hint="eastAsia" w:ascii="仿宋_GB2312" w:hAnsi="仿宋" w:eastAsia="仿宋_GB2312"/>
          <w:sz w:val="32"/>
          <w:szCs w:val="32"/>
        </w:rPr>
        <w:t>。</w:t>
      </w:r>
    </w:p>
    <w:p w14:paraId="0AA86B3C">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391" w:name="_Toc1647"/>
      <w:bookmarkStart w:id="392" w:name="_Toc3060"/>
      <w:bookmarkStart w:id="393" w:name="_Toc25386"/>
      <w:bookmarkStart w:id="394" w:name="_Toc195289366"/>
      <w:bookmarkStart w:id="395" w:name="_Toc25935014"/>
      <w:bookmarkStart w:id="396" w:name="_Toc19829"/>
      <w:bookmarkStart w:id="397" w:name="_Toc10576"/>
      <w:bookmarkStart w:id="398" w:name="_Hlk186233435"/>
      <w:r>
        <w:rPr>
          <w:rFonts w:hint="eastAsia" w:ascii="楷体" w:hAnsi="楷体" w:eastAsia="楷体" w:cs="楷体"/>
          <w:b w:val="0"/>
          <w:color w:val="000000" w:themeColor="text1"/>
          <w:lang w:val="en-US"/>
          <w14:textFill>
            <w14:solidFill>
              <w14:schemeClr w14:val="tx1"/>
            </w14:solidFill>
          </w14:textFill>
        </w:rPr>
        <w:t>8.3 预案修订</w:t>
      </w:r>
      <w:bookmarkEnd w:id="391"/>
      <w:bookmarkEnd w:id="392"/>
      <w:bookmarkEnd w:id="393"/>
      <w:bookmarkEnd w:id="394"/>
      <w:bookmarkEnd w:id="395"/>
      <w:bookmarkEnd w:id="396"/>
      <w:bookmarkEnd w:id="397"/>
    </w:p>
    <w:p w14:paraId="7A26A686">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本预案由县应急管理局按照有关规定管理与修订。</w:t>
      </w:r>
      <w:r>
        <w:rPr>
          <w:rFonts w:ascii="仿宋_GB2312" w:hAnsi="仿宋" w:eastAsia="仿宋_GB2312"/>
          <w:sz w:val="32"/>
          <w:szCs w:val="32"/>
        </w:rPr>
        <w:t>原则上至少每</w:t>
      </w:r>
      <w:r>
        <w:rPr>
          <w:rFonts w:hint="eastAsia" w:ascii="仿宋_GB2312" w:hAnsi="仿宋" w:eastAsia="仿宋_GB2312"/>
          <w:sz w:val="32"/>
          <w:szCs w:val="32"/>
        </w:rPr>
        <w:t>3</w:t>
      </w:r>
      <w:r>
        <w:rPr>
          <w:rFonts w:ascii="仿宋_GB2312" w:hAnsi="仿宋" w:eastAsia="仿宋_GB2312"/>
          <w:sz w:val="32"/>
          <w:szCs w:val="32"/>
        </w:rPr>
        <w:t>年对本预案评估</w:t>
      </w:r>
      <w:r>
        <w:rPr>
          <w:rFonts w:hint="eastAsia" w:ascii="仿宋_GB2312" w:hAnsi="仿宋" w:eastAsia="仿宋_GB2312"/>
          <w:sz w:val="32"/>
          <w:szCs w:val="32"/>
        </w:rPr>
        <w:t>1</w:t>
      </w:r>
      <w:r>
        <w:rPr>
          <w:rFonts w:ascii="仿宋_GB2312" w:hAnsi="仿宋" w:eastAsia="仿宋_GB2312"/>
          <w:sz w:val="32"/>
          <w:szCs w:val="32"/>
        </w:rPr>
        <w:t>次，并根据评估结果进行修订。有关法律法规对应急预案修订周期另有规定的，从其规定。有下列情形之一时，应当及时修订本预案：</w:t>
      </w:r>
    </w:p>
    <w:p w14:paraId="37CF58B1">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（1）有关法律、行政法规、规章、标准、上位预案中的有关规定发生变化的；</w:t>
      </w:r>
    </w:p>
    <w:p w14:paraId="288A5B70">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（2）应急指挥机构及其职责发生重大调整的；</w:t>
      </w:r>
    </w:p>
    <w:p w14:paraId="5EE2A90F">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（3）面临的风险发生重大变化的；</w:t>
      </w:r>
    </w:p>
    <w:p w14:paraId="387C8854">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（4）重要应急资源发生重大变化的；</w:t>
      </w:r>
    </w:p>
    <w:p w14:paraId="1C86DD3A">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（5）预案中的其他重要信息发生变化的；</w:t>
      </w:r>
    </w:p>
    <w:p w14:paraId="7CE1C452">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（6）在事故实际应对和应急演练中发现问题需要做出重大调整的；</w:t>
      </w:r>
    </w:p>
    <w:p w14:paraId="7C357E36">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（7）应急预案制定单位认为应当修订的其他情况。</w:t>
      </w:r>
    </w:p>
    <w:p w14:paraId="2B37EAB5">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399" w:name="_Toc17525"/>
      <w:bookmarkStart w:id="400" w:name="_Toc807"/>
      <w:bookmarkStart w:id="401" w:name="_Toc12641"/>
      <w:bookmarkStart w:id="402" w:name="_Toc25935015"/>
      <w:bookmarkStart w:id="403" w:name="_Toc11588"/>
      <w:bookmarkStart w:id="404" w:name="_Toc8293"/>
      <w:bookmarkStart w:id="405" w:name="_Toc195289367"/>
      <w:r>
        <w:rPr>
          <w:rFonts w:hint="eastAsia" w:ascii="楷体" w:hAnsi="楷体" w:eastAsia="楷体" w:cs="楷体"/>
          <w:b w:val="0"/>
          <w:color w:val="000000" w:themeColor="text1"/>
          <w:lang w:val="en-US"/>
          <w14:textFill>
            <w14:solidFill>
              <w14:schemeClr w14:val="tx1"/>
            </w14:solidFill>
          </w14:textFill>
        </w:rPr>
        <w:t>8.4 应急预案备案</w:t>
      </w:r>
      <w:bookmarkEnd w:id="399"/>
      <w:bookmarkEnd w:id="400"/>
      <w:bookmarkEnd w:id="401"/>
      <w:bookmarkEnd w:id="402"/>
      <w:bookmarkEnd w:id="403"/>
      <w:bookmarkEnd w:id="404"/>
      <w:r>
        <w:rPr>
          <w:rFonts w:hint="eastAsia" w:ascii="楷体" w:hAnsi="楷体" w:eastAsia="楷体" w:cs="楷体"/>
          <w:b w:val="0"/>
          <w:color w:val="000000" w:themeColor="text1"/>
          <w:lang w:val="en-US"/>
          <w14:textFill>
            <w14:solidFill>
              <w14:schemeClr w14:val="tx1"/>
            </w14:solidFill>
          </w14:textFill>
        </w:rPr>
        <w:t>、实施</w:t>
      </w:r>
      <w:bookmarkEnd w:id="405"/>
    </w:p>
    <w:p w14:paraId="1B33FCCB">
      <w:pPr>
        <w:pStyle w:val="10"/>
        <w:spacing w:line="520" w:lineRule="exact"/>
        <w:ind w:left="0" w:leftChars="0" w:right="0" w:rightChars="0" w:firstLine="640"/>
        <w:jc w:val="both"/>
        <w:rPr>
          <w:rFonts w:ascii="仿宋_GB2312" w:hAnsi="仿宋" w:eastAsia="仿宋_GB2312"/>
          <w:sz w:val="32"/>
          <w:szCs w:val="32"/>
        </w:rPr>
      </w:pPr>
      <w:r>
        <w:rPr>
          <w:rFonts w:hint="eastAsia" w:ascii="仿宋_GB2312" w:hAnsi="仿宋" w:eastAsia="仿宋_GB2312"/>
          <w:sz w:val="32"/>
          <w:szCs w:val="32"/>
        </w:rPr>
        <w:t>本应急预案经专家评审后，按照有关规定上报县政府备案后实施。同时抄送县公安局、县消防救援局等单位。</w:t>
      </w:r>
    </w:p>
    <w:p w14:paraId="3475C5D3">
      <w:pPr>
        <w:pStyle w:val="3"/>
        <w:numPr>
          <w:ilvl w:val="255"/>
          <w:numId w:val="0"/>
        </w:numPr>
        <w:tabs>
          <w:tab w:val="left" w:pos="1320"/>
        </w:tabs>
        <w:spacing w:beforeLines="0" w:afterLines="0" w:line="520" w:lineRule="exact"/>
        <w:ind w:firstLine="640" w:firstLineChars="200"/>
        <w:jc w:val="both"/>
        <w:rPr>
          <w:rFonts w:ascii="楷体" w:hAnsi="楷体" w:eastAsia="楷体" w:cs="楷体"/>
          <w:b w:val="0"/>
          <w:color w:val="000000" w:themeColor="text1"/>
          <w:lang w:val="en-US"/>
          <w14:textFill>
            <w14:solidFill>
              <w14:schemeClr w14:val="tx1"/>
            </w14:solidFill>
          </w14:textFill>
        </w:rPr>
      </w:pPr>
      <w:bookmarkStart w:id="406" w:name="8.4制定与解释"/>
      <w:bookmarkEnd w:id="406"/>
      <w:bookmarkStart w:id="407" w:name="8.3应急预案实施"/>
      <w:bookmarkEnd w:id="407"/>
      <w:bookmarkStart w:id="408" w:name="_bookmark24"/>
      <w:bookmarkEnd w:id="408"/>
      <w:bookmarkStart w:id="409" w:name="_Toc24056"/>
      <w:bookmarkStart w:id="410" w:name="_Toc24896"/>
      <w:bookmarkStart w:id="411" w:name="_Toc30591"/>
      <w:bookmarkStart w:id="412" w:name="_Toc4410"/>
      <w:bookmarkStart w:id="413" w:name="_Toc17730"/>
      <w:bookmarkStart w:id="414" w:name="_Toc25935016"/>
      <w:bookmarkStart w:id="415" w:name="_Toc195289368"/>
      <w:r>
        <w:rPr>
          <w:rFonts w:hint="eastAsia" w:ascii="楷体" w:hAnsi="楷体" w:eastAsia="楷体" w:cs="楷体"/>
          <w:b w:val="0"/>
          <w:color w:val="000000" w:themeColor="text1"/>
          <w:lang w:val="en-US"/>
          <w14:textFill>
            <w14:solidFill>
              <w14:schemeClr w14:val="tx1"/>
            </w14:solidFill>
          </w14:textFill>
        </w:rPr>
        <w:t xml:space="preserve">8.5 </w:t>
      </w:r>
      <w:bookmarkEnd w:id="409"/>
      <w:bookmarkEnd w:id="410"/>
      <w:bookmarkEnd w:id="411"/>
      <w:bookmarkEnd w:id="412"/>
      <w:bookmarkEnd w:id="413"/>
      <w:bookmarkEnd w:id="414"/>
      <w:bookmarkStart w:id="416" w:name="_Toc25935017"/>
      <w:bookmarkStart w:id="417" w:name="_Toc3613"/>
      <w:bookmarkStart w:id="418" w:name="_Toc16985"/>
      <w:bookmarkStart w:id="419" w:name="_Toc9811"/>
      <w:bookmarkStart w:id="420" w:name="_Toc22379"/>
      <w:r>
        <w:rPr>
          <w:rFonts w:hint="eastAsia" w:ascii="楷体" w:hAnsi="楷体" w:eastAsia="楷体" w:cs="楷体"/>
          <w:b w:val="0"/>
          <w:color w:val="000000" w:themeColor="text1"/>
          <w:lang w:val="en-US"/>
          <w14:textFill>
            <w14:solidFill>
              <w14:schemeClr w14:val="tx1"/>
            </w14:solidFill>
          </w14:textFill>
        </w:rPr>
        <w:t>制定与解释</w:t>
      </w:r>
      <w:bookmarkEnd w:id="415"/>
      <w:bookmarkEnd w:id="416"/>
      <w:bookmarkEnd w:id="417"/>
      <w:bookmarkEnd w:id="418"/>
    </w:p>
    <w:p w14:paraId="2532ED78">
      <w:pPr>
        <w:pStyle w:val="10"/>
        <w:spacing w:line="520" w:lineRule="exact"/>
        <w:ind w:left="132" w:leftChars="60" w:right="238" w:firstLine="518" w:firstLineChars="162"/>
        <w:jc w:val="both"/>
        <w:rPr>
          <w:rFonts w:ascii="仿宋_GB2312" w:hAnsi="仿宋" w:eastAsia="仿宋_GB2312"/>
          <w:sz w:val="32"/>
          <w:szCs w:val="32"/>
        </w:rPr>
      </w:pPr>
      <w:bookmarkStart w:id="421" w:name="_Toc195289369"/>
      <w:r>
        <w:rPr>
          <w:rFonts w:hint="eastAsia" w:ascii="仿宋_GB2312" w:hAnsi="仿宋" w:eastAsia="仿宋_GB2312"/>
          <w:sz w:val="32"/>
          <w:szCs w:val="32"/>
        </w:rPr>
        <w:t>本预案由县应急管理局负责解释</w:t>
      </w:r>
      <w:bookmarkEnd w:id="398"/>
      <w:r>
        <w:rPr>
          <w:rFonts w:hint="eastAsia" w:ascii="仿宋_GB2312" w:hAnsi="仿宋" w:eastAsia="仿宋_GB2312"/>
          <w:sz w:val="32"/>
          <w:szCs w:val="32"/>
        </w:rPr>
        <w:t>。</w:t>
      </w:r>
      <w:bookmarkEnd w:id="419"/>
      <w:bookmarkEnd w:id="420"/>
      <w:bookmarkEnd w:id="421"/>
      <w:bookmarkStart w:id="422" w:name="_bookmark26"/>
      <w:bookmarkEnd w:id="422"/>
      <w:bookmarkStart w:id="423" w:name="附件1：应急救援指挥部成员"/>
      <w:bookmarkEnd w:id="423"/>
      <w:bookmarkStart w:id="424" w:name="_Toc467954075"/>
    </w:p>
    <w:bookmarkEnd w:id="424"/>
    <w:p w14:paraId="6C56DE61">
      <w:pPr>
        <w:spacing w:line="520" w:lineRule="exact"/>
      </w:pPr>
    </w:p>
    <w:p w14:paraId="05D15297">
      <w:pPr>
        <w:spacing w:line="520" w:lineRule="exact"/>
        <w:jc w:val="center"/>
        <w:rPr>
          <w:rFonts w:asciiTheme="majorEastAsia" w:hAnsiTheme="majorEastAsia" w:eastAsiaTheme="majorEastAsia" w:cstheme="majorEastAsia"/>
          <w:color w:val="000000" w:themeColor="text1"/>
          <w:sz w:val="32"/>
          <w:szCs w:val="32"/>
          <w14:textFill>
            <w14:solidFill>
              <w14:schemeClr w14:val="tx1"/>
            </w14:solidFill>
          </w14:textFill>
        </w:rPr>
      </w:pPr>
    </w:p>
    <w:p w14:paraId="174982AE">
      <w:pPr>
        <w:pStyle w:val="10"/>
        <w:tabs>
          <w:tab w:val="left" w:pos="4842"/>
          <w:tab w:val="left" w:pos="6687"/>
          <w:tab w:val="left" w:pos="7808"/>
          <w:tab w:val="left" w:pos="8787"/>
        </w:tabs>
        <w:spacing w:before="120" w:beforeLines="50" w:line="520" w:lineRule="exact"/>
        <w:ind w:left="0" w:leftChars="0" w:right="0" w:rightChars="0" w:firstLine="0" w:firstLineChars="0"/>
        <w:jc w:val="distribute"/>
        <w:rPr>
          <w:rFonts w:ascii="仿宋_GB2312" w:hAnsi="仿宋_GB2312" w:eastAsia="仿宋_GB2312" w:cs="仿宋_GB2312"/>
          <w:color w:val="000000" w:themeColor="text1"/>
          <w:sz w:val="32"/>
          <w:szCs w:val="32"/>
          <w14:textFill>
            <w14:solidFill>
              <w14:schemeClr w14:val="tx1"/>
            </w14:solidFill>
          </w14:textFill>
        </w:rPr>
      </w:pPr>
      <w:bookmarkStart w:id="425" w:name="_bookmark30"/>
      <w:bookmarkEnd w:id="425"/>
      <w:bookmarkStart w:id="426" w:name="附件5：地理位置图"/>
      <w:bookmarkEnd w:id="426"/>
    </w:p>
    <w:sectPr>
      <w:headerReference r:id="rId6" w:type="default"/>
      <w:pgSz w:w="11906" w:h="16838"/>
      <w:pgMar w:top="2098" w:right="1474" w:bottom="1985" w:left="1588"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850047"/>
      <w:docPartObj>
        <w:docPartGallery w:val="AutoText"/>
      </w:docPartObj>
    </w:sdtPr>
    <w:sdtContent>
      <w:p w14:paraId="04484962">
        <w:pPr>
          <w:pStyle w:val="15"/>
          <w:jc w:val="center"/>
        </w:pPr>
        <w:r>
          <w:fldChar w:fldCharType="begin"/>
        </w:r>
        <w:r>
          <w:instrText xml:space="preserve">PAGE   \* MERGEFORMAT</w:instrText>
        </w:r>
        <w:r>
          <w:fldChar w:fldCharType="separate"/>
        </w:r>
        <w:r>
          <w:t>27</w:t>
        </w:r>
        <w:r>
          <w:fldChar w:fldCharType="end"/>
        </w:r>
      </w:p>
    </w:sdtContent>
  </w:sdt>
  <w:p w14:paraId="7FE42B3C">
    <w:pPr>
      <w:pStyle w:val="15"/>
      <w:tabs>
        <w:tab w:val="clear" w:pos="4153"/>
      </w:tabs>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9438E">
    <w:pPr>
      <w:pStyle w:val="10"/>
      <w:spacing w:line="14" w:lineRule="auto"/>
      <w:ind w:left="295" w:right="238" w:firstLine="40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64"/>
    <w:rsid w:val="0000103E"/>
    <w:rsid w:val="00020F22"/>
    <w:rsid w:val="000227C1"/>
    <w:rsid w:val="0006058B"/>
    <w:rsid w:val="00060E49"/>
    <w:rsid w:val="00067D78"/>
    <w:rsid w:val="00067F2D"/>
    <w:rsid w:val="000777E0"/>
    <w:rsid w:val="000802F4"/>
    <w:rsid w:val="00083385"/>
    <w:rsid w:val="00085378"/>
    <w:rsid w:val="0008656B"/>
    <w:rsid w:val="000869F9"/>
    <w:rsid w:val="000971D8"/>
    <w:rsid w:val="00097421"/>
    <w:rsid w:val="000D3EDC"/>
    <w:rsid w:val="000E1157"/>
    <w:rsid w:val="000E3E00"/>
    <w:rsid w:val="000F067F"/>
    <w:rsid w:val="000F6F71"/>
    <w:rsid w:val="001032B8"/>
    <w:rsid w:val="00105DEB"/>
    <w:rsid w:val="00116E3E"/>
    <w:rsid w:val="00130895"/>
    <w:rsid w:val="00143644"/>
    <w:rsid w:val="00194B3C"/>
    <w:rsid w:val="001B1CEA"/>
    <w:rsid w:val="001B380C"/>
    <w:rsid w:val="001D05EB"/>
    <w:rsid w:val="001F3AC7"/>
    <w:rsid w:val="002167FA"/>
    <w:rsid w:val="0022341D"/>
    <w:rsid w:val="002313A5"/>
    <w:rsid w:val="00235FA9"/>
    <w:rsid w:val="00240704"/>
    <w:rsid w:val="002435C5"/>
    <w:rsid w:val="00263F85"/>
    <w:rsid w:val="002761A3"/>
    <w:rsid w:val="00294007"/>
    <w:rsid w:val="002B1C48"/>
    <w:rsid w:val="002B63EE"/>
    <w:rsid w:val="002C160C"/>
    <w:rsid w:val="002C1C76"/>
    <w:rsid w:val="002E0942"/>
    <w:rsid w:val="002F280C"/>
    <w:rsid w:val="003011C2"/>
    <w:rsid w:val="00307F23"/>
    <w:rsid w:val="00314D11"/>
    <w:rsid w:val="003153B6"/>
    <w:rsid w:val="00321FE5"/>
    <w:rsid w:val="003311A0"/>
    <w:rsid w:val="00333FA1"/>
    <w:rsid w:val="00335D1A"/>
    <w:rsid w:val="00340898"/>
    <w:rsid w:val="0034478E"/>
    <w:rsid w:val="00364C06"/>
    <w:rsid w:val="003857C9"/>
    <w:rsid w:val="00391445"/>
    <w:rsid w:val="003A5B74"/>
    <w:rsid w:val="003B4325"/>
    <w:rsid w:val="003C1851"/>
    <w:rsid w:val="003E130A"/>
    <w:rsid w:val="003E23D7"/>
    <w:rsid w:val="003E2684"/>
    <w:rsid w:val="003F7432"/>
    <w:rsid w:val="004217F6"/>
    <w:rsid w:val="00421A62"/>
    <w:rsid w:val="004256ED"/>
    <w:rsid w:val="00442B03"/>
    <w:rsid w:val="004538CB"/>
    <w:rsid w:val="0046766B"/>
    <w:rsid w:val="00482CD7"/>
    <w:rsid w:val="00482F91"/>
    <w:rsid w:val="0048756F"/>
    <w:rsid w:val="004B00F5"/>
    <w:rsid w:val="004D578E"/>
    <w:rsid w:val="004F17D3"/>
    <w:rsid w:val="00504CF2"/>
    <w:rsid w:val="00536A8F"/>
    <w:rsid w:val="0055088F"/>
    <w:rsid w:val="005514DB"/>
    <w:rsid w:val="00556BDA"/>
    <w:rsid w:val="00583C24"/>
    <w:rsid w:val="00585040"/>
    <w:rsid w:val="005865E9"/>
    <w:rsid w:val="00587DC3"/>
    <w:rsid w:val="00590ED7"/>
    <w:rsid w:val="005967C5"/>
    <w:rsid w:val="005E27FE"/>
    <w:rsid w:val="00604684"/>
    <w:rsid w:val="00620FA3"/>
    <w:rsid w:val="006338CA"/>
    <w:rsid w:val="00634CAB"/>
    <w:rsid w:val="0063563F"/>
    <w:rsid w:val="00657771"/>
    <w:rsid w:val="006650DB"/>
    <w:rsid w:val="00691D09"/>
    <w:rsid w:val="0069362D"/>
    <w:rsid w:val="006A5C42"/>
    <w:rsid w:val="006A734A"/>
    <w:rsid w:val="006D7AD1"/>
    <w:rsid w:val="00710A5F"/>
    <w:rsid w:val="0071641A"/>
    <w:rsid w:val="00720941"/>
    <w:rsid w:val="007279A0"/>
    <w:rsid w:val="00744303"/>
    <w:rsid w:val="00755B5A"/>
    <w:rsid w:val="0076154E"/>
    <w:rsid w:val="00767297"/>
    <w:rsid w:val="00767EEF"/>
    <w:rsid w:val="0077105A"/>
    <w:rsid w:val="00790D6F"/>
    <w:rsid w:val="00793619"/>
    <w:rsid w:val="007A16D1"/>
    <w:rsid w:val="007A5692"/>
    <w:rsid w:val="007A707F"/>
    <w:rsid w:val="007E3B6A"/>
    <w:rsid w:val="007E7748"/>
    <w:rsid w:val="007F2DD1"/>
    <w:rsid w:val="007F500D"/>
    <w:rsid w:val="007F783D"/>
    <w:rsid w:val="00820CB8"/>
    <w:rsid w:val="00855635"/>
    <w:rsid w:val="00864288"/>
    <w:rsid w:val="00882288"/>
    <w:rsid w:val="00886348"/>
    <w:rsid w:val="008A4C44"/>
    <w:rsid w:val="008B48D2"/>
    <w:rsid w:val="008B4F33"/>
    <w:rsid w:val="008D14F1"/>
    <w:rsid w:val="008D239E"/>
    <w:rsid w:val="009113B7"/>
    <w:rsid w:val="009500D5"/>
    <w:rsid w:val="00957399"/>
    <w:rsid w:val="00970D24"/>
    <w:rsid w:val="00970D65"/>
    <w:rsid w:val="009900A2"/>
    <w:rsid w:val="00992498"/>
    <w:rsid w:val="0099521A"/>
    <w:rsid w:val="00996C64"/>
    <w:rsid w:val="009B1F9C"/>
    <w:rsid w:val="009B394F"/>
    <w:rsid w:val="009D3002"/>
    <w:rsid w:val="009E13A6"/>
    <w:rsid w:val="009E430B"/>
    <w:rsid w:val="009F3868"/>
    <w:rsid w:val="00A1411F"/>
    <w:rsid w:val="00A23A39"/>
    <w:rsid w:val="00A3250A"/>
    <w:rsid w:val="00A63732"/>
    <w:rsid w:val="00A93ADC"/>
    <w:rsid w:val="00A94685"/>
    <w:rsid w:val="00AC48D9"/>
    <w:rsid w:val="00B00949"/>
    <w:rsid w:val="00B00CE8"/>
    <w:rsid w:val="00B37C32"/>
    <w:rsid w:val="00B43756"/>
    <w:rsid w:val="00B6640A"/>
    <w:rsid w:val="00B84D34"/>
    <w:rsid w:val="00B94D6B"/>
    <w:rsid w:val="00BD1B54"/>
    <w:rsid w:val="00BF7D33"/>
    <w:rsid w:val="00C14939"/>
    <w:rsid w:val="00C80301"/>
    <w:rsid w:val="00C843A6"/>
    <w:rsid w:val="00C90560"/>
    <w:rsid w:val="00C9795A"/>
    <w:rsid w:val="00CC4B31"/>
    <w:rsid w:val="00CD6E93"/>
    <w:rsid w:val="00CE02D5"/>
    <w:rsid w:val="00D02266"/>
    <w:rsid w:val="00D07E85"/>
    <w:rsid w:val="00D1193B"/>
    <w:rsid w:val="00D1499E"/>
    <w:rsid w:val="00D218DF"/>
    <w:rsid w:val="00D273BB"/>
    <w:rsid w:val="00D30E45"/>
    <w:rsid w:val="00D460F1"/>
    <w:rsid w:val="00D7029C"/>
    <w:rsid w:val="00DA27DE"/>
    <w:rsid w:val="00DB71DF"/>
    <w:rsid w:val="00DC0E72"/>
    <w:rsid w:val="00E15A58"/>
    <w:rsid w:val="00E50840"/>
    <w:rsid w:val="00E60387"/>
    <w:rsid w:val="00E62DF4"/>
    <w:rsid w:val="00E663A4"/>
    <w:rsid w:val="00E761C0"/>
    <w:rsid w:val="00E803A9"/>
    <w:rsid w:val="00E825C9"/>
    <w:rsid w:val="00E90838"/>
    <w:rsid w:val="00E939AC"/>
    <w:rsid w:val="00E951E5"/>
    <w:rsid w:val="00EA566C"/>
    <w:rsid w:val="00EC41CB"/>
    <w:rsid w:val="00EE1707"/>
    <w:rsid w:val="00F23546"/>
    <w:rsid w:val="00F239AE"/>
    <w:rsid w:val="00F3506C"/>
    <w:rsid w:val="00F36320"/>
    <w:rsid w:val="00F43CA6"/>
    <w:rsid w:val="00F844B0"/>
    <w:rsid w:val="00F915B1"/>
    <w:rsid w:val="00F92223"/>
    <w:rsid w:val="00F9376B"/>
    <w:rsid w:val="00F96FF8"/>
    <w:rsid w:val="00FC2EB2"/>
    <w:rsid w:val="00FD1A2F"/>
    <w:rsid w:val="00FD564F"/>
    <w:rsid w:val="013104FA"/>
    <w:rsid w:val="01AD0C1F"/>
    <w:rsid w:val="02297FFE"/>
    <w:rsid w:val="0307399A"/>
    <w:rsid w:val="03201DA0"/>
    <w:rsid w:val="03FA7831"/>
    <w:rsid w:val="042F1D6F"/>
    <w:rsid w:val="04EC5C1B"/>
    <w:rsid w:val="04F35449"/>
    <w:rsid w:val="0682462A"/>
    <w:rsid w:val="069216B6"/>
    <w:rsid w:val="06EA22CF"/>
    <w:rsid w:val="085665B5"/>
    <w:rsid w:val="08941895"/>
    <w:rsid w:val="08B42E8F"/>
    <w:rsid w:val="096C1DA3"/>
    <w:rsid w:val="0BB735AA"/>
    <w:rsid w:val="0D522AAE"/>
    <w:rsid w:val="10AD72A0"/>
    <w:rsid w:val="112628CB"/>
    <w:rsid w:val="12691C2F"/>
    <w:rsid w:val="12C32AF3"/>
    <w:rsid w:val="144D4C62"/>
    <w:rsid w:val="148B04A6"/>
    <w:rsid w:val="154A366A"/>
    <w:rsid w:val="168D289E"/>
    <w:rsid w:val="17E87973"/>
    <w:rsid w:val="18434C45"/>
    <w:rsid w:val="18C4034C"/>
    <w:rsid w:val="1A861CC3"/>
    <w:rsid w:val="1B18764C"/>
    <w:rsid w:val="1BA619DF"/>
    <w:rsid w:val="1D2326B4"/>
    <w:rsid w:val="1D6139E0"/>
    <w:rsid w:val="1EFF59BA"/>
    <w:rsid w:val="1FD606C1"/>
    <w:rsid w:val="2011374D"/>
    <w:rsid w:val="218D060E"/>
    <w:rsid w:val="21DE1E84"/>
    <w:rsid w:val="22411A5B"/>
    <w:rsid w:val="23C64E85"/>
    <w:rsid w:val="2435301D"/>
    <w:rsid w:val="245C50AD"/>
    <w:rsid w:val="249D08AC"/>
    <w:rsid w:val="25732E80"/>
    <w:rsid w:val="286818AA"/>
    <w:rsid w:val="29EF7995"/>
    <w:rsid w:val="2ACA0010"/>
    <w:rsid w:val="2C640F6E"/>
    <w:rsid w:val="2D1F0691"/>
    <w:rsid w:val="2D31418D"/>
    <w:rsid w:val="2F3E4480"/>
    <w:rsid w:val="301B6E80"/>
    <w:rsid w:val="30773A94"/>
    <w:rsid w:val="316E1CC2"/>
    <w:rsid w:val="31A64421"/>
    <w:rsid w:val="32714FBE"/>
    <w:rsid w:val="327B16DC"/>
    <w:rsid w:val="32AD57F6"/>
    <w:rsid w:val="33800A0F"/>
    <w:rsid w:val="341F6BE9"/>
    <w:rsid w:val="34980C71"/>
    <w:rsid w:val="34AA77D5"/>
    <w:rsid w:val="35130752"/>
    <w:rsid w:val="352B66D0"/>
    <w:rsid w:val="356F6271"/>
    <w:rsid w:val="35C44052"/>
    <w:rsid w:val="36165AFD"/>
    <w:rsid w:val="37E134CB"/>
    <w:rsid w:val="38315682"/>
    <w:rsid w:val="386B4D75"/>
    <w:rsid w:val="3A111A1C"/>
    <w:rsid w:val="3A8A0E96"/>
    <w:rsid w:val="3BD2665B"/>
    <w:rsid w:val="3C830609"/>
    <w:rsid w:val="3E087FFC"/>
    <w:rsid w:val="3E582466"/>
    <w:rsid w:val="3FA70AD2"/>
    <w:rsid w:val="3FC03D75"/>
    <w:rsid w:val="41717C01"/>
    <w:rsid w:val="41F8672A"/>
    <w:rsid w:val="438D16CC"/>
    <w:rsid w:val="43BC5C6F"/>
    <w:rsid w:val="43DD028B"/>
    <w:rsid w:val="44C17924"/>
    <w:rsid w:val="46E411E1"/>
    <w:rsid w:val="47936896"/>
    <w:rsid w:val="48E34530"/>
    <w:rsid w:val="498338EA"/>
    <w:rsid w:val="49BC176B"/>
    <w:rsid w:val="4A351C1E"/>
    <w:rsid w:val="4A417701"/>
    <w:rsid w:val="4BB67456"/>
    <w:rsid w:val="4DD758DD"/>
    <w:rsid w:val="4E9415C3"/>
    <w:rsid w:val="4F067826"/>
    <w:rsid w:val="4F100D91"/>
    <w:rsid w:val="4FE81AD8"/>
    <w:rsid w:val="507512A2"/>
    <w:rsid w:val="50D71BA0"/>
    <w:rsid w:val="51282606"/>
    <w:rsid w:val="51E66C40"/>
    <w:rsid w:val="51EE4775"/>
    <w:rsid w:val="52A12ADB"/>
    <w:rsid w:val="53157C55"/>
    <w:rsid w:val="531E7273"/>
    <w:rsid w:val="535812AB"/>
    <w:rsid w:val="53D15224"/>
    <w:rsid w:val="54E337B5"/>
    <w:rsid w:val="553E2775"/>
    <w:rsid w:val="55B80ADE"/>
    <w:rsid w:val="56902936"/>
    <w:rsid w:val="5A4F5858"/>
    <w:rsid w:val="5A667437"/>
    <w:rsid w:val="5A924649"/>
    <w:rsid w:val="5ADF7263"/>
    <w:rsid w:val="5C4C2B4C"/>
    <w:rsid w:val="5C8720C4"/>
    <w:rsid w:val="5CD25C80"/>
    <w:rsid w:val="5CF42E0A"/>
    <w:rsid w:val="5D0A0F59"/>
    <w:rsid w:val="5DA773FC"/>
    <w:rsid w:val="5DEA58D1"/>
    <w:rsid w:val="5E724613"/>
    <w:rsid w:val="60803906"/>
    <w:rsid w:val="61A93837"/>
    <w:rsid w:val="61E21722"/>
    <w:rsid w:val="626C5EC1"/>
    <w:rsid w:val="63524474"/>
    <w:rsid w:val="63E81256"/>
    <w:rsid w:val="64254F5E"/>
    <w:rsid w:val="655461BF"/>
    <w:rsid w:val="65D774B5"/>
    <w:rsid w:val="67815E6C"/>
    <w:rsid w:val="68FC4B16"/>
    <w:rsid w:val="693A67CC"/>
    <w:rsid w:val="6ABC738D"/>
    <w:rsid w:val="6ADD7225"/>
    <w:rsid w:val="6B631A16"/>
    <w:rsid w:val="6B7E43B9"/>
    <w:rsid w:val="6D2440C3"/>
    <w:rsid w:val="6D8861FF"/>
    <w:rsid w:val="6E6C0F2C"/>
    <w:rsid w:val="6EF64A2E"/>
    <w:rsid w:val="70B67C0D"/>
    <w:rsid w:val="70CC2085"/>
    <w:rsid w:val="7148674A"/>
    <w:rsid w:val="731F72D2"/>
    <w:rsid w:val="733E4E53"/>
    <w:rsid w:val="73895969"/>
    <w:rsid w:val="738E4C5A"/>
    <w:rsid w:val="73D069D8"/>
    <w:rsid w:val="73E61A35"/>
    <w:rsid w:val="740A5B93"/>
    <w:rsid w:val="744C1A58"/>
    <w:rsid w:val="755D1098"/>
    <w:rsid w:val="760E6D57"/>
    <w:rsid w:val="76D97255"/>
    <w:rsid w:val="76E607CA"/>
    <w:rsid w:val="77183DF6"/>
    <w:rsid w:val="775C6A81"/>
    <w:rsid w:val="77F34B8B"/>
    <w:rsid w:val="799B752C"/>
    <w:rsid w:val="79C7402B"/>
    <w:rsid w:val="7A486A4F"/>
    <w:rsid w:val="7AD84EED"/>
    <w:rsid w:val="7C0E107C"/>
    <w:rsid w:val="7D962077"/>
    <w:rsid w:val="7E295352"/>
    <w:rsid w:val="7E460168"/>
    <w:rsid w:val="7F812EDE"/>
    <w:rsid w:val="7FAC7E82"/>
    <w:rsid w:val="7FE52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160" w:line="278" w:lineRule="auto"/>
    </w:pPr>
    <w:rPr>
      <w:rFonts w:ascii="宋体" w:hAnsi="宋体" w:eastAsia="宋体" w:cs="宋体"/>
      <w:sz w:val="22"/>
      <w:szCs w:val="22"/>
      <w:lang w:val="zh-CN" w:eastAsia="zh-CN" w:bidi="zh-CN"/>
    </w:rPr>
  </w:style>
  <w:style w:type="paragraph" w:styleId="2">
    <w:name w:val="heading 1"/>
    <w:basedOn w:val="1"/>
    <w:next w:val="1"/>
    <w:link w:val="47"/>
    <w:qFormat/>
    <w:uiPriority w:val="1"/>
    <w:pPr>
      <w:pageBreakBefore/>
      <w:spacing w:beforeLines="50" w:afterLines="50" w:line="360" w:lineRule="auto"/>
      <w:jc w:val="center"/>
      <w:outlineLvl w:val="0"/>
    </w:pPr>
    <w:rPr>
      <w:b/>
      <w:bCs/>
      <w:sz w:val="36"/>
      <w:szCs w:val="36"/>
    </w:rPr>
  </w:style>
  <w:style w:type="paragraph" w:styleId="3">
    <w:name w:val="heading 2"/>
    <w:basedOn w:val="1"/>
    <w:next w:val="1"/>
    <w:qFormat/>
    <w:uiPriority w:val="1"/>
    <w:pPr>
      <w:spacing w:beforeLines="50" w:afterLines="50" w:line="360" w:lineRule="auto"/>
      <w:outlineLvl w:val="1"/>
    </w:pPr>
    <w:rPr>
      <w:b/>
      <w:bCs/>
      <w:sz w:val="32"/>
      <w:szCs w:val="32"/>
    </w:rPr>
  </w:style>
  <w:style w:type="paragraph" w:styleId="4">
    <w:name w:val="heading 3"/>
    <w:basedOn w:val="1"/>
    <w:next w:val="1"/>
    <w:qFormat/>
    <w:uiPriority w:val="1"/>
    <w:pPr>
      <w:spacing w:beforeLines="50" w:afterLines="50" w:line="360" w:lineRule="auto"/>
      <w:ind w:left="1021"/>
      <w:outlineLvl w:val="2"/>
    </w:pPr>
    <w:rPr>
      <w:b/>
      <w:bCs/>
      <w:sz w:val="30"/>
      <w:szCs w:val="30"/>
    </w:rPr>
  </w:style>
  <w:style w:type="paragraph" w:styleId="5">
    <w:name w:val="heading 4"/>
    <w:basedOn w:val="1"/>
    <w:next w:val="1"/>
    <w:qFormat/>
    <w:uiPriority w:val="1"/>
    <w:pPr>
      <w:spacing w:before="253"/>
      <w:ind w:left="757"/>
      <w:outlineLvl w:val="3"/>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6">
    <w:name w:val="toc 7"/>
    <w:basedOn w:val="1"/>
    <w:next w:val="1"/>
    <w:autoRedefine/>
    <w:qFormat/>
    <w:uiPriority w:val="0"/>
    <w:pPr>
      <w:spacing w:after="0"/>
      <w:ind w:left="1320"/>
    </w:pPr>
    <w:rPr>
      <w:rFonts w:asciiTheme="minorHAnsi" w:hAnsiTheme="minorHAnsi"/>
      <w:sz w:val="18"/>
      <w:szCs w:val="18"/>
    </w:rPr>
  </w:style>
  <w:style w:type="paragraph" w:styleId="7">
    <w:name w:val="caption"/>
    <w:basedOn w:val="1"/>
    <w:next w:val="1"/>
    <w:unhideWhenUsed/>
    <w:qFormat/>
    <w:uiPriority w:val="35"/>
    <w:pPr>
      <w:spacing w:after="200" w:line="276" w:lineRule="auto"/>
    </w:pPr>
    <w:rPr>
      <w:rFonts w:ascii="Calibri Light" w:hAnsi="Calibri Light" w:eastAsia="黑体" w:cs="黑体"/>
      <w:kern w:val="2"/>
      <w:sz w:val="20"/>
      <w:szCs w:val="20"/>
      <w:lang w:val="en-US" w:eastAsia="en-US" w:bidi="ar-SA"/>
    </w:rPr>
  </w:style>
  <w:style w:type="paragraph" w:styleId="8">
    <w:name w:val="Document Map"/>
    <w:basedOn w:val="1"/>
    <w:link w:val="36"/>
    <w:qFormat/>
    <w:uiPriority w:val="0"/>
    <w:rPr>
      <w:sz w:val="18"/>
      <w:szCs w:val="18"/>
    </w:rPr>
  </w:style>
  <w:style w:type="paragraph" w:styleId="9">
    <w:name w:val="annotation text"/>
    <w:basedOn w:val="1"/>
    <w:link w:val="43"/>
    <w:qFormat/>
    <w:uiPriority w:val="0"/>
  </w:style>
  <w:style w:type="paragraph" w:styleId="10">
    <w:name w:val="Body Text"/>
    <w:basedOn w:val="1"/>
    <w:qFormat/>
    <w:uiPriority w:val="1"/>
    <w:pPr>
      <w:spacing w:line="360" w:lineRule="auto"/>
      <w:ind w:left="134" w:leftChars="134" w:right="108" w:rightChars="108" w:firstLine="200" w:firstLineChars="200"/>
    </w:pPr>
    <w:rPr>
      <w:sz w:val="28"/>
      <w:szCs w:val="28"/>
    </w:rPr>
  </w:style>
  <w:style w:type="paragraph" w:styleId="11">
    <w:name w:val="toc 5"/>
    <w:basedOn w:val="1"/>
    <w:next w:val="1"/>
    <w:autoRedefine/>
    <w:qFormat/>
    <w:uiPriority w:val="0"/>
    <w:pPr>
      <w:spacing w:after="0"/>
      <w:ind w:left="880"/>
    </w:pPr>
    <w:rPr>
      <w:rFonts w:asciiTheme="minorHAnsi" w:hAnsiTheme="minorHAnsi"/>
      <w:sz w:val="18"/>
      <w:szCs w:val="18"/>
    </w:rPr>
  </w:style>
  <w:style w:type="paragraph" w:styleId="12">
    <w:name w:val="toc 3"/>
    <w:basedOn w:val="1"/>
    <w:next w:val="1"/>
    <w:qFormat/>
    <w:uiPriority w:val="39"/>
    <w:pPr>
      <w:spacing w:after="0"/>
      <w:ind w:left="440"/>
    </w:pPr>
    <w:rPr>
      <w:rFonts w:asciiTheme="minorHAnsi" w:hAnsiTheme="minorHAnsi"/>
      <w:i/>
      <w:iCs/>
      <w:sz w:val="20"/>
      <w:szCs w:val="20"/>
    </w:rPr>
  </w:style>
  <w:style w:type="paragraph" w:styleId="13">
    <w:name w:val="toc 8"/>
    <w:basedOn w:val="1"/>
    <w:next w:val="1"/>
    <w:autoRedefine/>
    <w:qFormat/>
    <w:uiPriority w:val="0"/>
    <w:pPr>
      <w:spacing w:after="0"/>
      <w:ind w:left="1540"/>
    </w:pPr>
    <w:rPr>
      <w:rFonts w:asciiTheme="minorHAnsi" w:hAnsiTheme="minorHAnsi"/>
      <w:sz w:val="18"/>
      <w:szCs w:val="18"/>
    </w:rPr>
  </w:style>
  <w:style w:type="paragraph" w:styleId="14">
    <w:name w:val="Balloon Text"/>
    <w:basedOn w:val="1"/>
    <w:link w:val="35"/>
    <w:qFormat/>
    <w:uiPriority w:val="0"/>
    <w:rPr>
      <w:sz w:val="18"/>
      <w:szCs w:val="18"/>
    </w:rPr>
  </w:style>
  <w:style w:type="paragraph" w:styleId="15">
    <w:name w:val="footer"/>
    <w:basedOn w:val="1"/>
    <w:link w:val="46"/>
    <w:qFormat/>
    <w:uiPriority w:val="99"/>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qFormat/>
    <w:uiPriority w:val="39"/>
    <w:pPr>
      <w:spacing w:before="120" w:after="120"/>
    </w:pPr>
    <w:rPr>
      <w:rFonts w:asciiTheme="minorHAnsi" w:hAnsiTheme="minorHAnsi"/>
      <w:b/>
      <w:bCs/>
      <w:caps/>
      <w:sz w:val="20"/>
      <w:szCs w:val="20"/>
    </w:rPr>
  </w:style>
  <w:style w:type="paragraph" w:styleId="18">
    <w:name w:val="toc 4"/>
    <w:basedOn w:val="1"/>
    <w:next w:val="1"/>
    <w:autoRedefine/>
    <w:uiPriority w:val="0"/>
    <w:pPr>
      <w:spacing w:after="0"/>
      <w:ind w:left="660"/>
    </w:pPr>
    <w:rPr>
      <w:rFonts w:asciiTheme="minorHAnsi" w:hAnsiTheme="minorHAnsi"/>
      <w:sz w:val="18"/>
      <w:szCs w:val="18"/>
    </w:rPr>
  </w:style>
  <w:style w:type="paragraph" w:styleId="19">
    <w:name w:val="toc 6"/>
    <w:basedOn w:val="1"/>
    <w:next w:val="1"/>
    <w:autoRedefine/>
    <w:qFormat/>
    <w:uiPriority w:val="0"/>
    <w:pPr>
      <w:spacing w:after="0"/>
      <w:ind w:left="1100"/>
    </w:pPr>
    <w:rPr>
      <w:rFonts w:asciiTheme="minorHAnsi" w:hAnsiTheme="minorHAnsi"/>
      <w:sz w:val="18"/>
      <w:szCs w:val="18"/>
    </w:rPr>
  </w:style>
  <w:style w:type="paragraph" w:styleId="20">
    <w:name w:val="toc 2"/>
    <w:basedOn w:val="1"/>
    <w:next w:val="1"/>
    <w:qFormat/>
    <w:uiPriority w:val="39"/>
    <w:pPr>
      <w:spacing w:after="0"/>
      <w:ind w:left="220"/>
    </w:pPr>
    <w:rPr>
      <w:rFonts w:asciiTheme="minorHAnsi" w:hAnsiTheme="minorHAnsi"/>
      <w:smallCaps/>
      <w:sz w:val="20"/>
      <w:szCs w:val="20"/>
    </w:rPr>
  </w:style>
  <w:style w:type="paragraph" w:styleId="21">
    <w:name w:val="toc 9"/>
    <w:basedOn w:val="1"/>
    <w:next w:val="1"/>
    <w:autoRedefine/>
    <w:uiPriority w:val="0"/>
    <w:pPr>
      <w:spacing w:after="0"/>
      <w:ind w:left="1760"/>
    </w:pPr>
    <w:rPr>
      <w:rFonts w:asciiTheme="minorHAnsi" w:hAnsiTheme="minorHAnsi"/>
      <w:sz w:val="18"/>
      <w:szCs w:val="18"/>
    </w:rPr>
  </w:style>
  <w:style w:type="paragraph" w:styleId="22">
    <w:name w:val="Normal (Web)"/>
    <w:basedOn w:val="1"/>
    <w:unhideWhenUsed/>
    <w:qFormat/>
    <w:uiPriority w:val="99"/>
    <w:pPr>
      <w:widowControl/>
      <w:autoSpaceDE/>
      <w:autoSpaceDN/>
      <w:spacing w:before="100" w:beforeAutospacing="1" w:after="100" w:afterAutospacing="1"/>
    </w:pPr>
    <w:rPr>
      <w:sz w:val="24"/>
      <w:szCs w:val="24"/>
      <w:lang w:val="en-US" w:bidi="ar-SA"/>
    </w:rPr>
  </w:style>
  <w:style w:type="paragraph" w:styleId="23">
    <w:name w:val="Title"/>
    <w:link w:val="45"/>
    <w:qFormat/>
    <w:uiPriority w:val="0"/>
    <w:pPr>
      <w:widowControl w:val="0"/>
      <w:overflowPunct w:val="0"/>
      <w:topLinePunct/>
      <w:autoSpaceDN w:val="0"/>
      <w:jc w:val="center"/>
    </w:pPr>
    <w:rPr>
      <w:rFonts w:ascii="Times New Roman" w:hAnsi="Times New Roman" w:eastAsia="方正小标宋_GBK" w:cs="Times New Roman"/>
      <w:spacing w:val="-6"/>
      <w:kern w:val="2"/>
      <w:sz w:val="44"/>
      <w:szCs w:val="32"/>
      <w:lang w:val="en-US" w:eastAsia="zh-CN" w:bidi="ar-SA"/>
    </w:rPr>
  </w:style>
  <w:style w:type="paragraph" w:styleId="24">
    <w:name w:val="annotation subject"/>
    <w:basedOn w:val="9"/>
    <w:next w:val="9"/>
    <w:link w:val="44"/>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basedOn w:val="27"/>
    <w:unhideWhenUsed/>
    <w:qFormat/>
    <w:uiPriority w:val="99"/>
    <w:rPr>
      <w:color w:val="0000FF"/>
      <w:u w:val="single"/>
    </w:rPr>
  </w:style>
  <w:style w:type="character" w:styleId="30">
    <w:name w:val="annotation reference"/>
    <w:basedOn w:val="27"/>
    <w:qFormat/>
    <w:uiPriority w:val="0"/>
    <w:rPr>
      <w:sz w:val="21"/>
      <w:szCs w:val="21"/>
    </w:rPr>
  </w:style>
  <w:style w:type="paragraph" w:customStyle="1" w:styleId="31">
    <w:name w:val="Table Paragraph"/>
    <w:basedOn w:val="1"/>
    <w:qFormat/>
    <w:uiPriority w:val="1"/>
  </w:style>
  <w:style w:type="paragraph" w:styleId="32">
    <w:name w:val="List Paragraph"/>
    <w:basedOn w:val="1"/>
    <w:qFormat/>
    <w:uiPriority w:val="1"/>
    <w:pPr>
      <w:ind w:left="757" w:hanging="421"/>
    </w:pPr>
  </w:style>
  <w:style w:type="paragraph" w:customStyle="1" w:styleId="33">
    <w:name w:val="TOC 标题1"/>
    <w:basedOn w:val="2"/>
    <w:next w:val="1"/>
    <w:unhideWhenUsed/>
    <w:qFormat/>
    <w:uiPriority w:val="39"/>
    <w:pPr>
      <w:keepNext/>
      <w:keepLines/>
      <w:pageBreakBefore w:val="0"/>
      <w:widowControl/>
      <w:autoSpaceDE/>
      <w:autoSpaceDN/>
      <w:spacing w:beforeLines="0" w:afterLines="0" w:line="276" w:lineRule="auto"/>
      <w:jc w:val="left"/>
      <w:outlineLvl w:val="9"/>
    </w:pPr>
    <w:rPr>
      <w:rFonts w:ascii="Cambria" w:hAnsi="Cambria" w:cs="Times New Roman"/>
      <w:color w:val="366091"/>
      <w:sz w:val="28"/>
      <w:szCs w:val="28"/>
      <w:lang w:val="en-US" w:bidi="ar-SA"/>
    </w:rPr>
  </w:style>
  <w:style w:type="character" w:customStyle="1" w:styleId="34">
    <w:name w:val="bjh-strong"/>
    <w:basedOn w:val="27"/>
    <w:qFormat/>
    <w:uiPriority w:val="0"/>
  </w:style>
  <w:style w:type="character" w:customStyle="1" w:styleId="35">
    <w:name w:val="批注框文本 Char"/>
    <w:basedOn w:val="27"/>
    <w:link w:val="14"/>
    <w:qFormat/>
    <w:uiPriority w:val="0"/>
    <w:rPr>
      <w:rFonts w:ascii="宋体" w:hAnsi="宋体" w:eastAsia="宋体" w:cs="宋体"/>
      <w:sz w:val="18"/>
      <w:szCs w:val="18"/>
      <w:lang w:val="zh-CN" w:bidi="zh-CN"/>
    </w:rPr>
  </w:style>
  <w:style w:type="character" w:customStyle="1" w:styleId="36">
    <w:name w:val="文档结构图 Char"/>
    <w:basedOn w:val="27"/>
    <w:link w:val="8"/>
    <w:qFormat/>
    <w:uiPriority w:val="0"/>
    <w:rPr>
      <w:rFonts w:ascii="宋体" w:hAnsi="宋体" w:eastAsia="宋体" w:cs="宋体"/>
      <w:sz w:val="18"/>
      <w:szCs w:val="18"/>
      <w:lang w:val="zh-CN" w:bidi="zh-CN"/>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WPSOffice手动目录 1"/>
    <w:qFormat/>
    <w:uiPriority w:val="0"/>
    <w:pPr>
      <w:spacing w:after="160" w:line="278" w:lineRule="auto"/>
    </w:pPr>
    <w:rPr>
      <w:rFonts w:ascii="Calibri" w:hAnsi="Calibri" w:eastAsia="宋体" w:cs="Times New Roman"/>
      <w:lang w:val="en-US" w:eastAsia="zh-CN" w:bidi="ar-SA"/>
    </w:rPr>
  </w:style>
  <w:style w:type="paragraph" w:customStyle="1" w:styleId="39">
    <w:name w:val="WPSOffice手动目录 2"/>
    <w:qFormat/>
    <w:uiPriority w:val="0"/>
    <w:pPr>
      <w:spacing w:after="160" w:line="278" w:lineRule="auto"/>
      <w:ind w:left="200" w:leftChars="200"/>
    </w:pPr>
    <w:rPr>
      <w:rFonts w:ascii="Calibri" w:hAnsi="Calibri" w:eastAsia="宋体" w:cs="Times New Roman"/>
      <w:lang w:val="en-US" w:eastAsia="zh-CN" w:bidi="ar-SA"/>
    </w:rPr>
  </w:style>
  <w:style w:type="paragraph" w:customStyle="1" w:styleId="40">
    <w:name w:val="WPSOffice手动目录 3"/>
    <w:qFormat/>
    <w:uiPriority w:val="0"/>
    <w:pPr>
      <w:spacing w:after="160" w:line="278" w:lineRule="auto"/>
      <w:ind w:left="400" w:leftChars="400"/>
    </w:pPr>
    <w:rPr>
      <w:rFonts w:ascii="Calibri" w:hAnsi="Calibri" w:eastAsia="宋体" w:cs="Times New Roman"/>
      <w:lang w:val="en-US" w:eastAsia="zh-CN" w:bidi="ar-SA"/>
    </w:rPr>
  </w:style>
  <w:style w:type="character" w:customStyle="1" w:styleId="41">
    <w:name w:val="zw1"/>
    <w:basedOn w:val="27"/>
    <w:qFormat/>
    <w:uiPriority w:val="0"/>
    <w:rPr>
      <w:rFonts w:hint="eastAsia" w:ascii="宋体" w:hAnsi="宋体" w:eastAsia="宋体"/>
      <w:sz w:val="22"/>
      <w:szCs w:val="22"/>
    </w:rPr>
  </w:style>
  <w:style w:type="character" w:customStyle="1" w:styleId="42">
    <w:name w:val="NormalCharacter"/>
    <w:qFormat/>
    <w:uiPriority w:val="0"/>
  </w:style>
  <w:style w:type="character" w:customStyle="1" w:styleId="43">
    <w:name w:val="批注文字 Char"/>
    <w:basedOn w:val="27"/>
    <w:link w:val="9"/>
    <w:qFormat/>
    <w:uiPriority w:val="0"/>
    <w:rPr>
      <w:rFonts w:ascii="宋体" w:hAnsi="宋体" w:cs="宋体"/>
      <w:sz w:val="22"/>
      <w:szCs w:val="22"/>
      <w:lang w:val="zh-CN" w:bidi="zh-CN"/>
    </w:rPr>
  </w:style>
  <w:style w:type="character" w:customStyle="1" w:styleId="44">
    <w:name w:val="批注主题 Char"/>
    <w:basedOn w:val="43"/>
    <w:link w:val="24"/>
    <w:qFormat/>
    <w:uiPriority w:val="0"/>
    <w:rPr>
      <w:rFonts w:ascii="宋体" w:hAnsi="宋体" w:cs="宋体"/>
      <w:b/>
      <w:bCs/>
      <w:sz w:val="22"/>
      <w:szCs w:val="22"/>
      <w:lang w:val="zh-CN" w:bidi="zh-CN"/>
    </w:rPr>
  </w:style>
  <w:style w:type="character" w:customStyle="1" w:styleId="45">
    <w:name w:val="标题 Char"/>
    <w:basedOn w:val="27"/>
    <w:link w:val="23"/>
    <w:qFormat/>
    <w:uiPriority w:val="0"/>
    <w:rPr>
      <w:rFonts w:eastAsia="方正小标宋_GBK"/>
      <w:spacing w:val="-6"/>
      <w:kern w:val="2"/>
      <w:sz w:val="44"/>
      <w:szCs w:val="32"/>
    </w:rPr>
  </w:style>
  <w:style w:type="character" w:customStyle="1" w:styleId="46">
    <w:name w:val="页脚 Char"/>
    <w:basedOn w:val="27"/>
    <w:link w:val="15"/>
    <w:qFormat/>
    <w:uiPriority w:val="99"/>
    <w:rPr>
      <w:rFonts w:ascii="宋体" w:hAnsi="宋体" w:cs="宋体"/>
      <w:sz w:val="18"/>
      <w:szCs w:val="22"/>
      <w:lang w:val="zh-CN" w:bidi="zh-CN"/>
    </w:rPr>
  </w:style>
  <w:style w:type="character" w:customStyle="1" w:styleId="47">
    <w:name w:val="标题 1 Char"/>
    <w:link w:val="2"/>
    <w:qFormat/>
    <w:uiPriority w:val="1"/>
    <w:rPr>
      <w:rFonts w:ascii="宋体" w:hAnsi="宋体" w:cs="宋体"/>
      <w:b/>
      <w:bCs/>
      <w:sz w:val="36"/>
      <w:szCs w:val="36"/>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356C6-FF1A-4D30-BECE-7C591D9D338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11010</Words>
  <Characters>11300</Characters>
  <Lines>104</Lines>
  <Paragraphs>29</Paragraphs>
  <TotalTime>245</TotalTime>
  <ScaleCrop>false</ScaleCrop>
  <LinksUpToDate>false</LinksUpToDate>
  <CharactersWithSpaces>11469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2019-11-25T07:42:00Z</dcterms:created>
  <dc:creator>user-xzw</dc:creator>
  <cp:lastModifiedBy>WPS_1177103325</cp:lastModifiedBy>
  <cp:lastPrinted>2019-12-04T10:00:00Z</cp:lastPrinted>
  <dcterms:modified xsi:type="dcterms:W3CDTF">2025-04-16T02:32:46Z</dcterms:modified>
  <dc:title>万宁市安全生产监督管理局危险化学品事故应急预案</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WPS Office</vt:lpwstr>
  </property>
  <property fmtid="{D5CDD505-2E9C-101B-9397-08002B2CF9AE}" pid="4" name="LastSaved">
    <vt:filetime>2019-11-25T00:00:00Z</vt:filetime>
  </property>
  <property fmtid="{D5CDD505-2E9C-101B-9397-08002B2CF9AE}" pid="5" name="KSOProductBuildVer">
    <vt:lpwstr>2052-12.1.0.20784</vt:lpwstr>
  </property>
  <property fmtid="{D5CDD505-2E9C-101B-9397-08002B2CF9AE}" pid="6" name="KSOTemplateDocerSaveRecord">
    <vt:lpwstr>eyJoZGlkIjoiZjE5NTRiMWI3MjRjMGRlZDM3MTE0ZTVlNzhkMTBjOGIiLCJ1c2VySWQiOiIxMTc3MTAzMzI1In0=</vt:lpwstr>
  </property>
  <property fmtid="{D5CDD505-2E9C-101B-9397-08002B2CF9AE}" pid="7" name="ICV">
    <vt:lpwstr>9F51C860727B492CA014BD0FD3B86D50_12</vt:lpwstr>
  </property>
</Properties>
</file>