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规模化畜禽养殖最小规模标准</w:t>
      </w:r>
    </w:p>
    <w:bookmarkEnd w:id="0"/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00"/>
        <w:gridCol w:w="3301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类别</w:t>
            </w:r>
          </w:p>
        </w:tc>
        <w:tc>
          <w:tcPr>
            <w:tcW w:w="440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种类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最小规模（头/匹/只）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规模化畜禽养殖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猪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种猪、母猪</w:t>
            </w: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商品猪（25kg以上）</w:t>
            </w: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仔猪</w:t>
            </w: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肉牛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奶牛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羊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马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鸡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鸭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鹅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鸽子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1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兔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常年存栏量≥3000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工厂化水产养殖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鱼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水塘面积≥100亩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  <w:sectPr>
          <w:pgSz w:w="11906" w:h="16838"/>
          <w:pgMar w:top="1417" w:right="1417" w:bottom="1417" w:left="1417" w:header="850" w:footer="850" w:gutter="0"/>
          <w:cols w:space="720" w:num="1"/>
          <w:docGrid w:type="lines" w:linePitch="610" w:charSpace="0"/>
        </w:sectPr>
      </w:pPr>
      <w:r>
        <w:rPr>
          <w:rFonts w:hint="eastAsia" w:ascii="仿宋_GB2312" w:eastAsia="仿宋_GB2312"/>
          <w:sz w:val="32"/>
          <w:szCs w:val="32"/>
        </w:rPr>
        <w:t>注：以上均为常见养殖分类，其他养殖规模按“商品猪”的对应规模确定其最小规模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F06D2"/>
    <w:rsid w:val="15C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2020-03-30T07:13:00Z</dcterms:created>
  <dc:creator>海角天涯</dc:creator>
  <cp:lastModifiedBy>海角天涯</cp:lastModifiedBy>
  <dcterms:modified xsi:type="dcterms:W3CDTF">2020-03-30T07:16:39Z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