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84"/>
          <w:szCs w:val="84"/>
          <w:u w:val="single"/>
        </w:rPr>
      </w:pPr>
    </w:p>
    <w:p>
      <w:pPr>
        <w:spacing w:line="560" w:lineRule="exact"/>
        <w:rPr>
          <w:sz w:val="84"/>
          <w:szCs w:val="84"/>
          <w:u w:val="single"/>
        </w:rPr>
      </w:pPr>
    </w:p>
    <w:p>
      <w:pPr>
        <w:spacing w:line="560" w:lineRule="exact"/>
        <w:rPr>
          <w:sz w:val="84"/>
          <w:szCs w:val="84"/>
          <w:u w:val="single"/>
        </w:rPr>
      </w:pPr>
    </w:p>
    <w:p>
      <w:pPr>
        <w:spacing w:line="560" w:lineRule="exact"/>
        <w:rPr>
          <w:sz w:val="84"/>
          <w:szCs w:val="84"/>
          <w:u w:val="single"/>
        </w:rPr>
      </w:pPr>
    </w:p>
    <w:p>
      <w:pPr>
        <w:spacing w:line="560" w:lineRule="exact"/>
        <w:jc w:val="center"/>
        <w:rPr>
          <w:rFonts w:hint="eastAsia"/>
          <w:sz w:val="52"/>
          <w:szCs w:val="52"/>
          <w:lang w:val="en-US" w:eastAsia="zh-CN"/>
        </w:rPr>
      </w:pPr>
    </w:p>
    <w:p>
      <w:pPr>
        <w:spacing w:line="560" w:lineRule="exact"/>
        <w:jc w:val="center"/>
        <w:rPr>
          <w:rFonts w:hint="eastAsia"/>
          <w:sz w:val="52"/>
          <w:szCs w:val="52"/>
          <w:lang w:val="en-US" w:eastAsia="zh-CN"/>
        </w:rPr>
      </w:pPr>
    </w:p>
    <w:p>
      <w:pPr>
        <w:spacing w:line="560" w:lineRule="exact"/>
        <w:jc w:val="center"/>
        <w:rPr>
          <w:rFonts w:hint="eastAsia"/>
          <w:sz w:val="52"/>
          <w:szCs w:val="52"/>
          <w:lang w:val="en-US" w:eastAsia="zh-CN"/>
        </w:rPr>
      </w:pPr>
    </w:p>
    <w:p>
      <w:pPr>
        <w:spacing w:line="560" w:lineRule="exact"/>
        <w:jc w:val="center"/>
        <w:rPr>
          <w:rFonts w:hint="eastAsia"/>
          <w:sz w:val="52"/>
          <w:szCs w:val="52"/>
          <w:lang w:val="en-US" w:eastAsia="zh-CN"/>
        </w:rPr>
      </w:pPr>
    </w:p>
    <w:p>
      <w:pPr>
        <w:spacing w:line="560" w:lineRule="exact"/>
        <w:jc w:val="center"/>
        <w:rPr>
          <w:rFonts w:hint="eastAsia"/>
          <w:sz w:val="52"/>
          <w:szCs w:val="52"/>
          <w:lang w:val="en-US" w:eastAsia="zh-CN"/>
        </w:rPr>
      </w:pPr>
    </w:p>
    <w:p>
      <w:pPr>
        <w:spacing w:line="560" w:lineRule="exact"/>
        <w:jc w:val="center"/>
        <w:rPr>
          <w:rFonts w:hint="eastAsia" w:ascii="黑体" w:hAnsi="黑体" w:eastAsia="黑体"/>
          <w:sz w:val="52"/>
          <w:szCs w:val="52"/>
        </w:rPr>
      </w:pPr>
      <w:r>
        <w:rPr>
          <w:rFonts w:hint="eastAsia" w:ascii="黑体" w:hAnsi="黑体" w:eastAsia="黑体"/>
          <w:sz w:val="52"/>
          <w:szCs w:val="52"/>
          <w:lang w:val="en-US" w:eastAsia="zh-CN"/>
        </w:rPr>
        <w:t>2024</w:t>
      </w:r>
      <w:r>
        <w:rPr>
          <w:rFonts w:hint="eastAsia" w:ascii="黑体" w:hAnsi="黑体" w:eastAsia="黑体"/>
          <w:sz w:val="52"/>
          <w:szCs w:val="52"/>
        </w:rPr>
        <w:t>年</w:t>
      </w:r>
      <w:r>
        <w:rPr>
          <w:rFonts w:hint="eastAsia" w:ascii="黑体" w:hAnsi="黑体" w:eastAsia="黑体"/>
          <w:sz w:val="52"/>
          <w:szCs w:val="52"/>
          <w:lang w:eastAsia="zh-CN"/>
        </w:rPr>
        <w:t>宣传部单位</w:t>
      </w:r>
      <w:r>
        <w:rPr>
          <w:rFonts w:hint="eastAsia" w:ascii="黑体" w:hAnsi="黑体" w:eastAsia="黑体"/>
          <w:sz w:val="52"/>
          <w:szCs w:val="52"/>
        </w:rPr>
        <w:t>预算</w:t>
      </w:r>
    </w:p>
    <w:p>
      <w:pPr>
        <w:spacing w:line="560" w:lineRule="exact"/>
        <w:ind w:firstLine="1680"/>
        <w:jc w:val="center"/>
        <w:rPr>
          <w:sz w:val="84"/>
          <w:szCs w:val="84"/>
        </w:rPr>
      </w:pPr>
    </w:p>
    <w:p>
      <w:pPr>
        <w:spacing w:line="560" w:lineRule="exact"/>
        <w:ind w:firstLine="1680"/>
        <w:jc w:val="center"/>
        <w:rPr>
          <w:sz w:val="84"/>
          <w:szCs w:val="84"/>
        </w:rPr>
      </w:pPr>
    </w:p>
    <w:p>
      <w:pPr>
        <w:spacing w:line="560" w:lineRule="exact"/>
        <w:ind w:firstLine="1680"/>
        <w:jc w:val="center"/>
        <w:rPr>
          <w:sz w:val="84"/>
          <w:szCs w:val="84"/>
        </w:rPr>
      </w:pPr>
    </w:p>
    <w:p>
      <w:pPr>
        <w:spacing w:line="560" w:lineRule="exact"/>
        <w:ind w:firstLine="1680"/>
        <w:jc w:val="center"/>
        <w:rPr>
          <w:sz w:val="84"/>
          <w:szCs w:val="84"/>
        </w:rPr>
      </w:pPr>
    </w:p>
    <w:p>
      <w:pPr>
        <w:spacing w:line="560" w:lineRule="exact"/>
        <w:ind w:firstLine="1680"/>
        <w:jc w:val="center"/>
        <w:rPr>
          <w:sz w:val="84"/>
          <w:szCs w:val="84"/>
        </w:rPr>
        <w:sectPr>
          <w:pgSz w:w="11906" w:h="16838"/>
          <w:pgMar w:top="2098" w:right="1474" w:bottom="1984" w:left="1587" w:header="851" w:footer="992" w:gutter="0"/>
          <w:pgNumType w:fmt="decimal"/>
          <w:cols w:space="720" w:num="1"/>
          <w:docGrid w:type="lines" w:linePitch="312" w:charSpace="0"/>
        </w:sectPr>
      </w:pPr>
    </w:p>
    <w:p>
      <w:pPr>
        <w:spacing w:line="560" w:lineRule="exact"/>
        <w:rPr>
          <w:sz w:val="84"/>
          <w:szCs w:val="84"/>
        </w:rPr>
        <w:sectPr>
          <w:pgSz w:w="11906" w:h="16838"/>
          <w:pgMar w:top="2098" w:right="1474" w:bottom="1984" w:left="1587" w:header="851" w:footer="992" w:gutter="0"/>
          <w:pgNumType w:fmt="decimal"/>
          <w:cols w:space="720" w:num="1"/>
          <w:docGrid w:type="lines" w:linePitch="312" w:charSpace="0"/>
        </w:sectPr>
      </w:pPr>
    </w:p>
    <w:p>
      <w:pPr>
        <w:spacing w:line="560" w:lineRule="exact"/>
        <w:rPr>
          <w:sz w:val="84"/>
          <w:szCs w:val="84"/>
        </w:rPr>
      </w:pPr>
    </w:p>
    <w:sdt>
      <w:sdtPr>
        <w:rPr>
          <w:rFonts w:hint="eastAsia" w:ascii="黑体" w:hAnsi="黑体" w:eastAsia="黑体" w:cs="黑体"/>
          <w:kern w:val="2"/>
          <w:sz w:val="44"/>
          <w:szCs w:val="48"/>
          <w:lang w:val="en-US" w:eastAsia="zh-CN" w:bidi="ar-SA"/>
        </w:rPr>
        <w:id w:val="147475274"/>
        <w15:color w:val="DBDBDB"/>
        <w:docPartObj>
          <w:docPartGallery w:val="Table of Contents"/>
          <w:docPartUnique/>
        </w:docPartObj>
      </w:sdtPr>
      <w:sdtEndPr>
        <w:rPr>
          <w:rFonts w:hint="eastAsia" w:ascii="黑体" w:hAnsi="黑体" w:eastAsia="黑体" w:cs="黑体"/>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黑体" w:hAnsi="黑体" w:eastAsia="黑体"/>
              <w:sz w:val="52"/>
              <w:szCs w:val="52"/>
            </w:rPr>
          </w:pPr>
          <w:r>
            <w:rPr>
              <w:rFonts w:ascii="黑体" w:hAnsi="黑体" w:eastAsia="黑体"/>
              <w:sz w:val="32"/>
              <w:szCs w:val="32"/>
            </w:rPr>
            <w:fldChar w:fldCharType="begin"/>
          </w:r>
          <w:r>
            <w:rPr>
              <w:rFonts w:ascii="黑体" w:hAnsi="黑体" w:eastAsia="黑体"/>
              <w:sz w:val="32"/>
              <w:szCs w:val="32"/>
            </w:rPr>
            <w:instrText xml:space="preserve">TOC \o "1-2" \h \u </w:instrText>
          </w:r>
          <w:r>
            <w:rPr>
              <w:rFonts w:ascii="黑体" w:hAnsi="黑体" w:eastAsia="黑体"/>
              <w:sz w:val="32"/>
              <w:szCs w:val="32"/>
            </w:rPr>
            <w:fldChar w:fldCharType="separate"/>
          </w:r>
          <w:r>
            <w:rPr>
              <w:rFonts w:hint="eastAsia" w:ascii="黑体" w:hAnsi="黑体" w:eastAsia="黑体"/>
              <w:sz w:val="52"/>
              <w:szCs w:val="52"/>
            </w:rPr>
            <w:t>目录</w:t>
          </w:r>
        </w:p>
        <w:p>
          <w:pPr>
            <w:pStyle w:val="8"/>
            <w:numPr>
              <w:ilvl w:val="0"/>
              <w:numId w:val="0"/>
            </w:numPr>
            <w:ind w:left="1320" w:hanging="1320" w:firstLineChars="0"/>
            <w:jc w:val="left"/>
            <w:rPr>
              <w:rFonts w:ascii="黑体" w:hAnsi="黑体" w:eastAsia="黑体"/>
              <w:sz w:val="32"/>
              <w:szCs w:val="32"/>
            </w:rPr>
          </w:pPr>
          <w:r>
            <w:rPr>
              <w:rFonts w:hint="eastAsia" w:ascii="黑体" w:hAnsi="黑体" w:eastAsia="黑体" w:cs="黑体"/>
              <w:kern w:val="2"/>
              <w:sz w:val="32"/>
              <w:szCs w:val="32"/>
              <w:lang w:val="en-US" w:eastAsia="zh-CN" w:bidi="ar-SA"/>
            </w:rPr>
            <w:t>第一部分</w:t>
          </w: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宣传部概</w:t>
          </w:r>
          <w:r>
            <w:rPr>
              <w:rFonts w:hint="eastAsia" w:ascii="黑体" w:hAnsi="黑体" w:eastAsia="黑体"/>
              <w:sz w:val="32"/>
              <w:szCs w:val="32"/>
            </w:rPr>
            <w:t>况</w:t>
          </w:r>
        </w:p>
        <w:p>
          <w:pPr>
            <w:pStyle w:val="8"/>
            <w:numPr>
              <w:ilvl w:val="0"/>
              <w:numId w:val="0"/>
            </w:numPr>
            <w:ind w:left="841" w:leftChars="338" w:hanging="131" w:hangingChars="41"/>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主要职能</w:t>
          </w:r>
        </w:p>
        <w:p>
          <w:pPr>
            <w:pStyle w:val="8"/>
            <w:numPr>
              <w:ilvl w:val="0"/>
              <w:numId w:val="0"/>
            </w:numPr>
            <w:ind w:left="841" w:leftChars="338" w:hanging="131" w:hangingChars="41"/>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部门预算单位构成</w:t>
          </w:r>
        </w:p>
        <w:p>
          <w:pPr>
            <w:pStyle w:val="8"/>
            <w:numPr>
              <w:ilvl w:val="0"/>
              <w:numId w:val="0"/>
            </w:numPr>
            <w:ind w:left="1320" w:hanging="1320" w:firstLineChars="0"/>
            <w:rPr>
              <w:rFonts w:ascii="黑体" w:hAnsi="黑体" w:eastAsia="黑体"/>
              <w:sz w:val="32"/>
              <w:szCs w:val="32"/>
            </w:rPr>
          </w:pPr>
          <w:r>
            <w:rPr>
              <w:rFonts w:hint="eastAsia" w:ascii="黑体" w:hAnsi="黑体" w:eastAsia="黑体" w:cs="黑体"/>
              <w:kern w:val="2"/>
              <w:sz w:val="32"/>
              <w:szCs w:val="32"/>
              <w:lang w:val="en-US" w:eastAsia="zh-CN" w:bidi="ar-SA"/>
            </w:rPr>
            <w:t>第二部分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sz w:val="32"/>
              <w:szCs w:val="32"/>
            </w:rPr>
            <w:t>财政拨款收支总表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一般公共预算支出表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rPr>
            <w:t>一般公共预算基本支出表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一般公共预算“三公”经费支出表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政府性基金预算支出表。</w:t>
          </w:r>
        </w:p>
        <w:p>
          <w:pPr>
            <w:pStyle w:val="8"/>
            <w:numPr>
              <w:ilvl w:val="0"/>
              <w:numId w:val="0"/>
            </w:numPr>
            <w:ind w:left="841" w:leftChars="338" w:hanging="131" w:hangingChars="41"/>
            <w:rPr>
              <w:rFonts w:ascii="仿宋_GB2312" w:hAnsi="仿宋_GB2312" w:eastAsia="仿宋_GB2312" w:cs="仿宋_GB2312"/>
              <w:sz w:val="32"/>
              <w:szCs w:val="32"/>
            </w:rPr>
          </w:pPr>
          <w:r>
            <w:rPr>
              <w:rFonts w:hint="default"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政府性基金预算“三公”经费支出表</w:t>
          </w:r>
        </w:p>
        <w:p>
          <w:pPr>
            <w:pStyle w:val="8"/>
            <w:numPr>
              <w:ilvl w:val="0"/>
              <w:numId w:val="0"/>
            </w:numPr>
            <w:ind w:left="841" w:leftChars="338" w:hanging="131" w:hangingChars="41"/>
            <w:jc w:val="left"/>
            <w:rPr>
              <w:rFonts w:ascii="黑体" w:hAnsi="黑体" w:eastAsia="黑体"/>
              <w:sz w:val="32"/>
              <w:szCs w:val="32"/>
            </w:rPr>
          </w:pPr>
          <w:r>
            <w:rPr>
              <w:rFonts w:hint="default"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0"/>
            </w:numPr>
            <w:ind w:left="841" w:leftChars="338" w:hanging="131" w:hangingChars="41"/>
            <w:jc w:val="left"/>
            <w:rPr>
              <w:rFonts w:ascii="黑体" w:hAnsi="黑体" w:eastAsia="黑体"/>
              <w:sz w:val="32"/>
              <w:szCs w:val="32"/>
            </w:rPr>
          </w:pPr>
          <w:r>
            <w:rPr>
              <w:rFonts w:hint="default"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0"/>
            </w:numPr>
            <w:ind w:left="841" w:leftChars="338" w:hanging="131" w:hangingChars="41"/>
            <w:jc w:val="left"/>
            <w:rPr>
              <w:rFonts w:ascii="黑体" w:hAnsi="黑体" w:eastAsia="黑体"/>
              <w:sz w:val="32"/>
              <w:szCs w:val="32"/>
            </w:rPr>
          </w:pPr>
          <w:r>
            <w:rPr>
              <w:rFonts w:hint="default" w:ascii="仿宋_GB2312" w:hAnsi="仿宋_GB2312" w:eastAsia="仿宋_GB2312" w:cs="仿宋_GB2312"/>
              <w:kern w:val="2"/>
              <w:sz w:val="32"/>
              <w:szCs w:val="32"/>
              <w:lang w:val="en-US" w:eastAsia="zh-CN" w:bidi="ar-SA"/>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0"/>
            </w:numPr>
            <w:ind w:left="841" w:leftChars="338" w:hanging="131" w:hangingChars="41"/>
            <w:jc w:val="left"/>
            <w:rPr>
              <w:rFonts w:ascii="黑体" w:hAnsi="黑体" w:eastAsia="黑体"/>
              <w:sz w:val="32"/>
              <w:szCs w:val="32"/>
            </w:rPr>
          </w:pP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sz w:val="32"/>
              <w:szCs w:val="32"/>
            </w:rPr>
            <w:t>项目支出绩效信息表</w:t>
          </w:r>
        </w:p>
        <w:p>
          <w:pPr>
            <w:pStyle w:val="8"/>
            <w:numPr>
              <w:ilvl w:val="0"/>
              <w:numId w:val="0"/>
            </w:numPr>
            <w:ind w:left="1320" w:hanging="1320" w:firstLineChars="0"/>
            <w:jc w:val="left"/>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8"/>
            <w:numPr>
              <w:ilvl w:val="0"/>
              <w:numId w:val="0"/>
            </w:numPr>
            <w:ind w:left="1320" w:hanging="1320" w:firstLineChars="0"/>
            <w:jc w:val="left"/>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第四部分</w:t>
          </w:r>
          <w:r>
            <w:rPr>
              <w:rFonts w:hint="eastAsia" w:ascii="黑体" w:hAnsi="黑体" w:eastAsia="黑体"/>
              <w:sz w:val="32"/>
              <w:szCs w:val="32"/>
            </w:rPr>
            <w:t xml:space="preserve">   名词解释</w:t>
          </w:r>
        </w:p>
        <w:p>
          <w:pPr>
            <w:pStyle w:val="4"/>
            <w:tabs>
              <w:tab w:val="right" w:leader="dot" w:pos="8845"/>
            </w:tabs>
            <w:rPr>
              <w:sz w:val="20"/>
              <w:szCs w:val="21"/>
            </w:rPr>
          </w:pPr>
        </w:p>
        <w:p>
          <w:pPr>
            <w:pStyle w:val="8"/>
            <w:spacing w:line="560" w:lineRule="exact"/>
            <w:ind w:left="1320" w:firstLine="0" w:firstLineChars="0"/>
            <w:jc w:val="left"/>
            <w:rPr>
              <w:rFonts w:ascii="黑体" w:hAnsi="黑体" w:eastAsia="黑体"/>
              <w:sz w:val="32"/>
              <w:szCs w:val="32"/>
            </w:rPr>
          </w:pPr>
          <w:r>
            <w:rPr>
              <w:rFonts w:ascii="黑体" w:hAnsi="黑体" w:eastAsia="黑体"/>
              <w:szCs w:val="32"/>
            </w:rPr>
            <w:fldChar w:fldCharType="end"/>
          </w:r>
        </w:p>
      </w:sdtContent>
    </w:sdt>
    <w:p>
      <w:pPr>
        <w:pStyle w:val="8"/>
        <w:numPr>
          <w:ilvl w:val="0"/>
          <w:numId w:val="0"/>
        </w:numPr>
        <w:spacing w:line="560" w:lineRule="exact"/>
        <w:ind w:left="1320" w:hanging="1320" w:firstLineChars="0"/>
        <w:jc w:val="center"/>
        <w:outlineLvl w:val="0"/>
        <w:rPr>
          <w:rFonts w:hint="eastAsia" w:ascii="黑体" w:hAnsi="黑体" w:eastAsia="黑体" w:cs="黑体"/>
          <w:kern w:val="2"/>
          <w:sz w:val="32"/>
          <w:szCs w:val="32"/>
          <w:lang w:val="en-US" w:eastAsia="zh-CN" w:bidi="ar-SA"/>
        </w:rPr>
        <w:sectPr>
          <w:footerReference r:id="rId3" w:type="default"/>
          <w:pgSz w:w="11906" w:h="16838"/>
          <w:pgMar w:top="2098" w:right="1474" w:bottom="1984" w:left="1587" w:header="851" w:footer="992" w:gutter="0"/>
          <w:pgNumType w:fmt="decimal" w:start="1"/>
          <w:cols w:space="720" w:num="1"/>
          <w:docGrid w:type="lines" w:linePitch="312" w:charSpace="0"/>
        </w:sectPr>
      </w:pPr>
      <w:bookmarkStart w:id="0" w:name="_Toc3291"/>
    </w:p>
    <w:p>
      <w:pPr>
        <w:pStyle w:val="8"/>
        <w:numPr>
          <w:ilvl w:val="0"/>
          <w:numId w:val="0"/>
        </w:numPr>
        <w:spacing w:line="560" w:lineRule="exact"/>
        <w:ind w:left="1320" w:hanging="1320" w:firstLineChars="0"/>
        <w:jc w:val="center"/>
        <w:outlineLvl w:val="0"/>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第一部分</w:t>
      </w:r>
      <w:r>
        <w:rPr>
          <w:rFonts w:hint="eastAsia" w:ascii="黑体" w:hAnsi="黑体" w:eastAsia="黑体"/>
          <w:sz w:val="32"/>
          <w:szCs w:val="32"/>
        </w:rPr>
        <w:t xml:space="preserve">  </w:t>
      </w:r>
      <w:r>
        <w:rPr>
          <w:rFonts w:hint="eastAsia" w:ascii="黑体" w:hAnsi="黑体" w:eastAsia="黑体"/>
          <w:sz w:val="32"/>
          <w:szCs w:val="32"/>
          <w:lang w:eastAsia="zh-CN"/>
        </w:rPr>
        <w:t>宣传部</w:t>
      </w:r>
      <w:r>
        <w:rPr>
          <w:rFonts w:hint="eastAsia" w:ascii="黑体" w:hAnsi="黑体" w:eastAsia="黑体"/>
          <w:sz w:val="32"/>
          <w:szCs w:val="32"/>
        </w:rPr>
        <w:t>概况</w:t>
      </w:r>
      <w:bookmarkEnd w:id="0"/>
    </w:p>
    <w:p>
      <w:pPr>
        <w:spacing w:line="560" w:lineRule="exact"/>
        <w:jc w:val="left"/>
        <w:rPr>
          <w:rFonts w:ascii="仿宋_GB2312" w:hAnsi="仿宋_GB2312" w:eastAsia="仿宋_GB2312" w:cs="仿宋_GB2312"/>
          <w:sz w:val="32"/>
          <w:szCs w:val="32"/>
        </w:rPr>
      </w:pPr>
    </w:p>
    <w:p>
      <w:pPr>
        <w:pStyle w:val="8"/>
        <w:numPr>
          <w:ilvl w:val="0"/>
          <w:numId w:val="0"/>
        </w:numPr>
        <w:spacing w:line="560" w:lineRule="exact"/>
        <w:ind w:firstLineChars="0"/>
        <w:jc w:val="left"/>
        <w:outlineLvl w:val="1"/>
        <w:rPr>
          <w:rFonts w:ascii="黑体" w:hAnsi="黑体" w:eastAsia="黑体" w:cs="仿宋_GB2312"/>
          <w:sz w:val="32"/>
          <w:szCs w:val="32"/>
        </w:rPr>
      </w:pPr>
      <w:bookmarkStart w:id="1" w:name="_Toc30084"/>
      <w:r>
        <w:rPr>
          <w:rFonts w:hint="default" w:ascii="黑体" w:hAnsi="黑体" w:eastAsia="黑体" w:cs="仿宋_GB2312"/>
          <w:kern w:val="2"/>
          <w:sz w:val="32"/>
          <w:szCs w:val="32"/>
          <w:lang w:val="en-US" w:eastAsia="zh-CN" w:bidi="ar-SA"/>
        </w:rPr>
        <w:t>一、</w:t>
      </w:r>
      <w:r>
        <w:rPr>
          <w:rFonts w:hint="eastAsia" w:ascii="黑体" w:hAnsi="黑体" w:eastAsia="黑体" w:cs="仿宋_GB2312"/>
          <w:sz w:val="32"/>
          <w:szCs w:val="32"/>
        </w:rPr>
        <w:t>主要职能</w:t>
      </w:r>
      <w:bookmarkEnd w:id="1"/>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宣传贯彻执行党的理论和路线、方针、政策，确保政令畅通。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根据中央和省委、县委的决策部署，研究制定全县宣传思想文化工作规划并提出宣传系统社会事业发展的指导意见，并抓好组织实施和督促落实。</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负责组织、指导全县理论学习、理论研究、理论宣传方面的工作，掌握最新理论工作动态，总结和推广理论学习工作经验；配合县委组织部做好机关党的建设和党员教育工作。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负责社会文化工作和文化市场的宏观管理；对全县文化艺术、体育，广播电视、文联及有关团体工作实施指导、协调。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引导新闻舆论，把握舆论导向和宣传基调；指导、协调广播电视部门的工作；做好舆情信息、宣传信息收集和报送工作，及时报告有关情况、反映问题、提出意见建议，当好县委参谋助手，为县委决策提供服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负责规划、部署全局性的思想政治工作任务以及全县社会宣传、法制宣传、科技宣传和全民国防教育等工作。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研究制定精神文明建设的规划、措施、对策；指导和协调全县精神文明建设工作，组织全县性的重大精神文明活动。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负责对全县新闻宣传和网络传播内容的检查与监督，承办新闻宣传建立网站和上网的审核审批。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组织实施对外宣传工作，贯彻对外宣传工作的政策；组织、协调对外新闻报道和全县性的对外宣传重大活动。</w:t>
      </w:r>
    </w:p>
    <w:p>
      <w:pPr>
        <w:widowControl/>
        <w:adjustRightInd w:val="0"/>
        <w:snapToGrid w:val="0"/>
        <w:spacing w:line="560" w:lineRule="exact"/>
        <w:ind w:left="0" w:leftChars="0" w:firstLine="640" w:firstLineChars="200"/>
        <w:jc w:val="left"/>
        <w:rPr>
          <w:rFonts w:ascii="仿宋_GB2312" w:hAnsi="黑体"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承办县委和上级业务部门交办的其他工作</w:t>
      </w:r>
      <w:r>
        <w:rPr>
          <w:rFonts w:hint="eastAsia" w:ascii="仿宋_GB2312" w:hAnsi="仿宋_GB2312" w:eastAsia="仿宋_GB2312" w:cs="仿宋_GB2312"/>
          <w:sz w:val="32"/>
          <w:szCs w:val="32"/>
          <w:lang w:eastAsia="zh-CN"/>
        </w:rPr>
        <w:t>。</w:t>
      </w:r>
    </w:p>
    <w:p>
      <w:pPr>
        <w:pStyle w:val="8"/>
        <w:numPr>
          <w:ilvl w:val="0"/>
          <w:numId w:val="0"/>
        </w:numPr>
        <w:spacing w:line="560" w:lineRule="exact"/>
        <w:ind w:firstLineChars="0"/>
        <w:jc w:val="left"/>
        <w:outlineLvl w:val="1"/>
        <w:rPr>
          <w:rFonts w:ascii="黑体" w:hAnsi="黑体" w:eastAsia="黑体" w:cs="仿宋_GB2312"/>
          <w:sz w:val="32"/>
          <w:szCs w:val="32"/>
        </w:rPr>
      </w:pPr>
      <w:bookmarkStart w:id="2" w:name="_Toc21530"/>
      <w:r>
        <w:rPr>
          <w:rFonts w:hint="default" w:ascii="黑体" w:hAnsi="黑体" w:eastAsia="黑体" w:cs="仿宋_GB2312"/>
          <w:kern w:val="2"/>
          <w:sz w:val="32"/>
          <w:szCs w:val="32"/>
          <w:lang w:val="en-US" w:eastAsia="zh-CN" w:bidi="ar-SA"/>
        </w:rPr>
        <w:t>二、</w:t>
      </w:r>
      <w:r>
        <w:rPr>
          <w:rFonts w:hint="eastAsia" w:ascii="黑体" w:hAnsi="黑体" w:eastAsia="黑体" w:cs="仿宋_GB2312"/>
          <w:sz w:val="32"/>
          <w:szCs w:val="32"/>
        </w:rPr>
        <w:t>部门预算单位构成</w:t>
      </w:r>
      <w:bookmarkEnd w:id="2"/>
    </w:p>
    <w:p>
      <w:pPr>
        <w:spacing w:line="560" w:lineRule="exact"/>
        <w:ind w:firstLine="0" w:firstLineChars="0"/>
        <w:jc w:val="both"/>
        <w:outlineLvl w:val="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宣传部</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只有宣传部本级。</w:t>
      </w:r>
      <w:bookmarkStart w:id="3" w:name="_Toc12631"/>
    </w:p>
    <w:p>
      <w:pPr>
        <w:spacing w:line="560" w:lineRule="exact"/>
        <w:ind w:firstLine="0" w:firstLineChars="0"/>
        <w:jc w:val="center"/>
        <w:outlineLvl w:val="0"/>
        <w:rPr>
          <w:rFonts w:hint="eastAsia" w:ascii="黑体" w:hAnsi="黑体" w:eastAsia="黑体"/>
          <w:sz w:val="32"/>
          <w:szCs w:val="32"/>
        </w:rPr>
      </w:pPr>
    </w:p>
    <w:p>
      <w:pPr>
        <w:spacing w:line="560" w:lineRule="exact"/>
        <w:ind w:firstLine="0" w:firstLineChars="0"/>
        <w:jc w:val="center"/>
        <w:outlineLvl w:val="0"/>
        <w:rPr>
          <w:rFonts w:ascii="黑体" w:hAnsi="黑体" w:eastAsia="黑体"/>
          <w:sz w:val="32"/>
          <w:szCs w:val="32"/>
        </w:rPr>
      </w:pPr>
      <w:bookmarkStart w:id="6" w:name="_GoBack"/>
      <w:bookmarkEnd w:id="6"/>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年单位预算表</w:t>
      </w:r>
      <w:bookmarkEnd w:id="3"/>
    </w:p>
    <w:p>
      <w:pPr>
        <w:spacing w:line="560" w:lineRule="exact"/>
        <w:ind w:left="800"/>
        <w:jc w:val="left"/>
        <w:rPr>
          <w:rFonts w:ascii="黑体" w:hAnsi="黑体" w:eastAsia="黑体"/>
          <w:sz w:val="32"/>
          <w:szCs w:val="32"/>
        </w:rPr>
      </w:pPr>
    </w:p>
    <w:p>
      <w:pPr>
        <w:spacing w:line="560" w:lineRule="exact"/>
        <w:ind w:left="0" w:firstLine="321" w:firstLineChars="100"/>
        <w:jc w:val="center"/>
        <w:rPr>
          <w:rFonts w:hint="eastAsia" w:ascii="仿宋_GB2312" w:hAnsi="黑体" w:eastAsia="仿宋_GB2312"/>
          <w:b/>
          <w:sz w:val="32"/>
          <w:szCs w:val="32"/>
          <w:lang w:eastAsia="zh-CN"/>
        </w:rPr>
      </w:pPr>
      <w:r>
        <w:rPr>
          <w:rFonts w:hint="eastAsia" w:ascii="仿宋_GB2312" w:hAnsi="黑体" w:eastAsia="仿宋_GB2312"/>
          <w:b/>
          <w:sz w:val="32"/>
          <w:szCs w:val="32"/>
        </w:rPr>
        <w:t>（此部分内容即为部门或单位预算公开表</w:t>
      </w:r>
      <w:bookmarkStart w:id="4" w:name="_Toc9879"/>
      <w:r>
        <w:rPr>
          <w:rFonts w:hint="eastAsia" w:ascii="仿宋_GB2312" w:hAnsi="黑体" w:eastAsia="仿宋_GB2312"/>
          <w:b/>
          <w:sz w:val="32"/>
          <w:szCs w:val="32"/>
          <w:lang w:eastAsia="zh-CN"/>
        </w:rPr>
        <w:t>）</w:t>
      </w:r>
    </w:p>
    <w:p>
      <w:pPr>
        <w:spacing w:line="560" w:lineRule="exact"/>
        <w:ind w:left="0" w:firstLine="320" w:firstLineChars="100"/>
        <w:jc w:val="center"/>
        <w:rPr>
          <w:rFonts w:hint="eastAsia" w:ascii="黑体" w:hAnsi="黑体" w:eastAsia="黑体"/>
          <w:sz w:val="32"/>
          <w:szCs w:val="32"/>
        </w:rPr>
      </w:pPr>
    </w:p>
    <w:p>
      <w:pPr>
        <w:spacing w:line="560" w:lineRule="exact"/>
        <w:ind w:left="0" w:firstLine="320" w:firstLineChars="100"/>
        <w:jc w:val="center"/>
        <w:rPr>
          <w:rFonts w:hint="eastAsia" w:ascii="黑体" w:hAnsi="黑体" w:eastAsia="黑体"/>
          <w:sz w:val="32"/>
          <w:szCs w:val="32"/>
        </w:rPr>
      </w:pPr>
    </w:p>
    <w:p>
      <w:pPr>
        <w:spacing w:line="560" w:lineRule="exact"/>
        <w:ind w:left="0" w:firstLine="320" w:firstLineChars="10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bookmarkEnd w:id="4"/>
    </w:p>
    <w:p>
      <w:pPr>
        <w:spacing w:line="560" w:lineRule="exact"/>
        <w:ind w:firstLine="640" w:firstLineChars="200"/>
        <w:jc w:val="left"/>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widowControl/>
        <w:adjustRightInd w:val="0"/>
        <w:snapToGrid w:val="0"/>
        <w:spacing w:line="560" w:lineRule="exact"/>
        <w:ind w:firstLine="640" w:firstLineChars="200"/>
        <w:jc w:val="left"/>
        <w:outlineLvl w:val="9"/>
        <w:rPr>
          <w:rFonts w:ascii="仿宋_GB2312" w:hAnsi="黑体" w:eastAsia="仿宋_GB2312"/>
          <w:sz w:val="32"/>
          <w:szCs w:val="32"/>
        </w:rPr>
      </w:pP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5096.52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2548.26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2,020.82</w:t>
      </w:r>
      <w:r>
        <w:rPr>
          <w:rFonts w:hint="eastAsia" w:ascii="仿宋_GB2312" w:hAnsi="黑体" w:eastAsia="仿宋_GB2312"/>
          <w:sz w:val="32"/>
          <w:szCs w:val="32"/>
        </w:rPr>
        <w:t>万元、上年结转14.50万元，政府性基金预算本年收入512.94万元、上年结转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2548.26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1,852.89</w:t>
      </w:r>
      <w:r>
        <w:rPr>
          <w:rFonts w:hint="eastAsia" w:ascii="仿宋_GB2312" w:hAnsi="黑体" w:eastAsia="仿宋_GB2312"/>
          <w:sz w:val="32"/>
          <w:szCs w:val="32"/>
        </w:rPr>
        <w:t>万元、文化旅游体育与传媒支出</w:t>
      </w:r>
      <w:r>
        <w:rPr>
          <w:rFonts w:hint="eastAsia" w:ascii="仿宋_GB2312" w:hAnsi="黑体" w:eastAsia="仿宋_GB2312" w:cs="仿宋_GB2312"/>
          <w:sz w:val="32"/>
          <w:szCs w:val="32"/>
        </w:rPr>
        <w:t>92.33</w:t>
      </w:r>
      <w:r>
        <w:rPr>
          <w:rFonts w:hint="eastAsia" w:ascii="仿宋_GB2312" w:hAnsi="黑体" w:eastAsia="仿宋_GB2312"/>
          <w:sz w:val="32"/>
          <w:szCs w:val="32"/>
        </w:rPr>
        <w:t>万元、社会保障和就业支出36.80万元</w:t>
      </w:r>
      <w:r>
        <w:rPr>
          <w:rFonts w:hint="eastAsia" w:ascii="仿宋_GB2312" w:hAnsi="黑体" w:eastAsia="仿宋_GB2312"/>
          <w:sz w:val="32"/>
          <w:szCs w:val="32"/>
          <w:lang w:eastAsia="zh-CN"/>
        </w:rPr>
        <w:t>、卫生健康支出30.43</w:t>
      </w:r>
      <w:r>
        <w:rPr>
          <w:rFonts w:hint="eastAsia" w:ascii="仿宋_GB2312" w:hAnsi="黑体" w:eastAsia="仿宋_GB2312"/>
          <w:sz w:val="32"/>
          <w:szCs w:val="32"/>
        </w:rPr>
        <w:t>万元、城乡社区支出500.94万元</w:t>
      </w:r>
      <w:r>
        <w:rPr>
          <w:rFonts w:hint="eastAsia" w:ascii="仿宋_GB2312" w:hAnsi="黑体" w:eastAsia="仿宋_GB2312"/>
          <w:sz w:val="32"/>
          <w:szCs w:val="32"/>
          <w:lang w:eastAsia="zh-CN"/>
        </w:rPr>
        <w:t>、住房保障支出22.87</w:t>
      </w:r>
      <w:r>
        <w:rPr>
          <w:rFonts w:hint="eastAsia" w:ascii="仿宋_GB2312" w:hAnsi="黑体" w:eastAsia="仿宋_GB2312" w:cs="黑体"/>
          <w:kern w:val="2"/>
          <w:sz w:val="32"/>
          <w:szCs w:val="32"/>
        </w:rPr>
        <w:t>万元</w:t>
      </w:r>
      <w:r>
        <w:rPr>
          <w:rFonts w:hint="eastAsia" w:ascii="仿宋_GB2312" w:hAnsi="黑体" w:eastAsia="仿宋_GB2312" w:cs="黑体"/>
          <w:kern w:val="2"/>
          <w:sz w:val="32"/>
          <w:szCs w:val="32"/>
          <w:lang w:eastAsia="zh-CN"/>
        </w:rPr>
        <w:t>、</w:t>
      </w:r>
      <w:r>
        <w:rPr>
          <w:rFonts w:hint="eastAsia" w:ascii="仿宋_GB2312" w:hAnsi="黑体" w:eastAsia="仿宋_GB2312" w:cs="黑体"/>
          <w:kern w:val="2"/>
          <w:sz w:val="32"/>
          <w:szCs w:val="32"/>
        </w:rPr>
        <w:t>其他支出12.00万元</w:t>
      </w:r>
      <w:r>
        <w:rPr>
          <w:rFonts w:hint="eastAsia" w:ascii="仿宋_GB2312" w:hAnsi="黑体" w:eastAsia="仿宋_GB2312" w:cs="黑体"/>
          <w:kern w:val="2"/>
          <w:sz w:val="32"/>
          <w:szCs w:val="32"/>
          <w:lang w:eastAsia="zh-CN"/>
        </w:rPr>
        <w:t>，</w:t>
      </w:r>
      <w:r>
        <w:rPr>
          <w:rFonts w:hint="eastAsia" w:ascii="仿宋_GB2312" w:hAnsi="黑体" w:eastAsia="仿宋_GB2312" w:cs="黑体"/>
          <w:kern w:val="2"/>
          <w:sz w:val="32"/>
          <w:szCs w:val="32"/>
        </w:rPr>
        <w:t>结转下年</w:t>
      </w:r>
      <w:r>
        <w:rPr>
          <w:rFonts w:hint="eastAsia" w:ascii="仿宋_GB2312" w:hAnsi="黑体" w:eastAsia="仿宋_GB2312" w:cs="黑体"/>
          <w:kern w:val="2"/>
          <w:sz w:val="32"/>
          <w:szCs w:val="32"/>
          <w:lang w:val="en-US" w:eastAsia="zh-CN"/>
        </w:rPr>
        <w:t>0</w:t>
      </w:r>
      <w:r>
        <w:rPr>
          <w:rFonts w:hint="eastAsia" w:ascii="仿宋_GB2312" w:hAnsi="黑体" w:eastAsia="仿宋_GB2312" w:cs="黑体"/>
          <w:kern w:val="2"/>
          <w:sz w:val="32"/>
          <w:szCs w:val="32"/>
        </w:rPr>
        <w:t>万</w:t>
      </w:r>
      <w:r>
        <w:rPr>
          <w:rFonts w:hint="eastAsia" w:ascii="仿宋_GB2312" w:hAnsi="黑体" w:eastAsia="仿宋_GB2312" w:cs="仿宋_GB2312"/>
          <w:sz w:val="32"/>
          <w:szCs w:val="32"/>
        </w:rPr>
        <w:t>元。</w:t>
      </w:r>
    </w:p>
    <w:p>
      <w:pPr>
        <w:spacing w:line="560" w:lineRule="exact"/>
        <w:ind w:firstLine="640"/>
        <w:jc w:val="left"/>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spacing w:line="560" w:lineRule="exact"/>
        <w:ind w:firstLine="640" w:firstLineChars="200"/>
        <w:jc w:val="left"/>
        <w:outlineLvl w:val="9"/>
        <w:rPr>
          <w:rFonts w:ascii="楷体" w:hAnsi="楷体" w:eastAsia="楷体"/>
          <w:sz w:val="32"/>
          <w:szCs w:val="32"/>
        </w:rPr>
      </w:pPr>
      <w:r>
        <w:rPr>
          <w:rFonts w:hint="eastAsia" w:ascii="楷体" w:hAnsi="楷体" w:eastAsia="楷体"/>
          <w:sz w:val="32"/>
          <w:szCs w:val="32"/>
        </w:rPr>
        <w:t>（一）一般公共预算当年规模变化情况</w:t>
      </w:r>
    </w:p>
    <w:p>
      <w:pPr>
        <w:widowControl/>
        <w:adjustRightInd w:val="0"/>
        <w:snapToGrid w:val="0"/>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年一般公共预算当年拨款2,035.32万元，比上年预算数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911.64</w:t>
      </w:r>
      <w:r>
        <w:rPr>
          <w:rFonts w:hint="eastAsia" w:ascii="仿宋_GB2312" w:hAnsi="黑体" w:eastAsia="仿宋_GB2312"/>
          <w:sz w:val="32"/>
          <w:szCs w:val="32"/>
        </w:rPr>
        <w:t>万元，主要是主要是一般公共服务支出</w:t>
      </w:r>
      <w:r>
        <w:rPr>
          <w:rFonts w:hint="eastAsia" w:ascii="仿宋_GB2312" w:hAnsi="黑体" w:eastAsia="仿宋_GB2312"/>
          <w:sz w:val="32"/>
          <w:szCs w:val="32"/>
          <w:lang w:eastAsia="zh-CN"/>
        </w:rPr>
        <w:t>、社会保障和就业支出、卫生健康支出、住房保障支出增加。</w:t>
      </w:r>
    </w:p>
    <w:p>
      <w:pPr>
        <w:spacing w:line="560" w:lineRule="exact"/>
        <w:ind w:firstLine="640"/>
        <w:jc w:val="left"/>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kinsoku/>
        <w:wordWrap/>
        <w:overflowPunct/>
        <w:topLinePunct w:val="0"/>
        <w:autoSpaceDE/>
        <w:autoSpaceDN/>
        <w:bidi w:val="0"/>
        <w:adjustRightInd w:val="0"/>
        <w:snapToGrid w:val="0"/>
        <w:spacing w:line="560" w:lineRule="exact"/>
        <w:ind w:firstLine="800" w:firstLineChars="25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一般公共服务（类）支出1,852.89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91.04</w:t>
      </w:r>
      <w:r>
        <w:rPr>
          <w:rFonts w:hint="eastAsia" w:ascii="仿宋_GB2312" w:hAnsi="黑体" w:eastAsia="仿宋_GB2312"/>
          <w:sz w:val="32"/>
          <w:szCs w:val="32"/>
        </w:rPr>
        <w:t>%；文化旅游体育与传媒（类）支出</w:t>
      </w:r>
      <w:r>
        <w:rPr>
          <w:rFonts w:hint="eastAsia" w:ascii="仿宋_GB2312" w:hAnsi="黑体" w:eastAsia="仿宋_GB2312" w:cs="仿宋_GB2312"/>
          <w:sz w:val="32"/>
          <w:szCs w:val="32"/>
          <w:lang w:val="en-US" w:eastAsia="zh-CN"/>
        </w:rPr>
        <w:t>92.33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4.54</w:t>
      </w:r>
      <w:r>
        <w:rPr>
          <w:rFonts w:hint="eastAsia" w:ascii="仿宋_GB2312" w:hAnsi="黑体" w:eastAsia="仿宋_GB2312"/>
          <w:sz w:val="32"/>
          <w:szCs w:val="32"/>
        </w:rPr>
        <w:t>%；社会保障和就业（类）支出</w:t>
      </w:r>
      <w:r>
        <w:rPr>
          <w:rFonts w:hint="eastAsia" w:ascii="仿宋_GB2312" w:hAnsi="黑体" w:eastAsia="仿宋_GB2312" w:cs="仿宋_GB2312"/>
          <w:sz w:val="32"/>
          <w:szCs w:val="32"/>
          <w:lang w:val="en-US" w:eastAsia="zh-CN"/>
        </w:rPr>
        <w:t>36.80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1.81</w:t>
      </w:r>
      <w:r>
        <w:rPr>
          <w:rFonts w:hint="eastAsia" w:ascii="仿宋_GB2312" w:hAnsi="黑体" w:eastAsia="仿宋_GB2312"/>
          <w:sz w:val="32"/>
          <w:szCs w:val="32"/>
        </w:rPr>
        <w:t>%；卫生健康（类）支出</w:t>
      </w:r>
      <w:r>
        <w:rPr>
          <w:rFonts w:hint="eastAsia" w:ascii="仿宋_GB2312" w:hAnsi="黑体" w:eastAsia="仿宋_GB2312" w:cs="仿宋_GB2312"/>
          <w:sz w:val="32"/>
          <w:szCs w:val="32"/>
          <w:lang w:val="en-US" w:eastAsia="zh-CN"/>
        </w:rPr>
        <w:t>30.43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1.49</w:t>
      </w:r>
      <w:r>
        <w:rPr>
          <w:rFonts w:hint="eastAsia" w:ascii="仿宋_GB2312" w:hAnsi="黑体" w:eastAsia="仿宋_GB2312"/>
          <w:sz w:val="32"/>
          <w:szCs w:val="32"/>
        </w:rPr>
        <w:t>%；住房保障（类）支出22.87万元，占</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spacing w:line="560" w:lineRule="exact"/>
        <w:ind w:firstLine="640"/>
        <w:jc w:val="left"/>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widowControl/>
        <w:adjustRightInd w:val="0"/>
        <w:snapToGrid w:val="0"/>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rPr>
        <w:t>1.一般公共服务（类）宣传事务（款）行政运行（项）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202.23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工资奖金津补贴</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一般公共服务（类）宣传事务（款）其他宣传事务支出（项）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1,650.66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875.33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宣传工作、网络意识形态和网络安全工作、扫黄打非工作、精神文明建设工作费增加。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文化旅游体育与传媒支出（类）其他文化旅游体育与传媒支出（款）其他文化旅游体育与传媒支出（项）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92.33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上级专项文化发展资金、上级结转公共文化服务体系建设资金、上级结转文化发展资金</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5.32</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基本养老保险费增加。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年预算数为12.27万元，比上年预算数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2.66</w:t>
      </w:r>
      <w:r>
        <w:rPr>
          <w:rFonts w:hint="eastAsia" w:ascii="仿宋_GB2312" w:hAnsi="黑体" w:eastAsia="仿宋_GB2312"/>
          <w:sz w:val="32"/>
          <w:szCs w:val="32"/>
        </w:rPr>
        <w:t>万元，主要</w:t>
      </w:r>
      <w:r>
        <w:rPr>
          <w:rFonts w:hint="eastAsia" w:ascii="仿宋_GB2312" w:hAnsi="黑体" w:eastAsia="仿宋_GB2312" w:cs="仿宋_GB2312"/>
          <w:sz w:val="32"/>
          <w:szCs w:val="32"/>
        </w:rPr>
        <w:t>机关事业单位职业年金缴费</w:t>
      </w:r>
      <w:r>
        <w:rPr>
          <w:rFonts w:hint="eastAsia" w:ascii="仿宋_GB2312" w:hAnsi="黑体" w:eastAsia="仿宋_GB2312" w:cs="仿宋_GB2312"/>
          <w:sz w:val="32"/>
          <w:szCs w:val="32"/>
          <w:lang w:eastAsia="zh-CN"/>
        </w:rPr>
        <w:t>增加</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卫生健康支出（类）公共卫生（款）重大公共卫生服务（项）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重大传染病防控经费</w:t>
      </w:r>
      <w:r>
        <w:rPr>
          <w:rFonts w:hint="eastAsia" w:ascii="仿宋_GB2312" w:hAnsi="仿宋_GB2312" w:eastAsia="仿宋_GB2312" w:cs="仿宋_GB2312"/>
          <w:sz w:val="32"/>
          <w:szCs w:val="32"/>
          <w:lang w:eastAsia="zh-CN"/>
        </w:rPr>
        <w:t>增加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职工基本医疗保险费增加。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公务员医疗补助费增加。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9.住房保障支出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5.83</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住房公积金增加增加。</w:t>
      </w:r>
    </w:p>
    <w:p>
      <w:pPr>
        <w:spacing w:line="560" w:lineRule="exact"/>
        <w:ind w:firstLine="640"/>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宣传部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292.15</w:t>
      </w:r>
      <w:r>
        <w:rPr>
          <w:rFonts w:hint="eastAsia" w:ascii="仿宋_GB2312" w:hAnsi="黑体" w:eastAsia="仿宋_GB2312"/>
          <w:sz w:val="32"/>
          <w:szCs w:val="32"/>
        </w:rPr>
        <w:t>万元，其中：</w:t>
      </w:r>
    </w:p>
    <w:p>
      <w:pPr>
        <w:widowControl/>
        <w:adjustRightInd w:val="0"/>
        <w:snapToGrid w:val="0"/>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sz w:val="32"/>
          <w:szCs w:val="32"/>
        </w:rPr>
        <w:t>人员经费256.80万元，主要包括：基本工资、津贴补贴、奖金、绩效工资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、机关事业单位基本养老保险缴费、职业年金缴费、职工基本医疗保险缴费、公务员医疗补助缴费、其他社会保障缴费、住房公积金、其他工资福利支出、邮电费、其他交通费用。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公用经费35.36万元，主要包括：办公费、印刷费</w:t>
      </w:r>
      <w:r>
        <w:rPr>
          <w:rFonts w:hint="eastAsia" w:ascii="仿宋_GB2312" w:hAnsi="黑体" w:eastAsia="仿宋_GB2312"/>
          <w:sz w:val="32"/>
          <w:szCs w:val="32"/>
          <w:lang w:eastAsia="zh-CN"/>
        </w:rPr>
        <w:t>、手续费、</w:t>
      </w:r>
      <w:r>
        <w:rPr>
          <w:rFonts w:hint="eastAsia" w:ascii="仿宋_GB2312" w:hAnsi="黑体" w:eastAsia="仿宋_GB2312"/>
          <w:sz w:val="32"/>
          <w:szCs w:val="32"/>
        </w:rPr>
        <w:t>邮电费</w:t>
      </w:r>
      <w:r>
        <w:rPr>
          <w:rFonts w:hint="eastAsia" w:ascii="仿宋_GB2312" w:hAnsi="黑体" w:eastAsia="仿宋_GB2312"/>
          <w:sz w:val="32"/>
          <w:szCs w:val="32"/>
          <w:lang w:eastAsia="zh-CN"/>
        </w:rPr>
        <w:t>、差旅费、维修（护）费、培训费、公务接待费、工会经费、公务用车运行维护费、其他商品和服务支出、办公设备购置。</w:t>
      </w:r>
    </w:p>
    <w:p>
      <w:pPr>
        <w:spacing w:line="560" w:lineRule="exact"/>
        <w:ind w:firstLine="640" w:firstLineChars="200"/>
        <w:outlineLvl w:val="9"/>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hd w:val="clear" w:color="auto" w:fill="FFFFFF"/>
          <w:lang w:eastAsia="zh-CN"/>
        </w:rPr>
        <w:t>宣传部</w:t>
      </w:r>
      <w:r>
        <w:rPr>
          <w:rFonts w:hint="eastAsia" w:ascii="黑体" w:hAnsi="黑体" w:eastAsia="黑体"/>
          <w:sz w:val="32"/>
          <w:szCs w:val="32"/>
          <w:lang w:val="en-US" w:eastAsia="zh-CN"/>
        </w:rPr>
        <w:t>2024</w:t>
      </w:r>
      <w:r>
        <w:rPr>
          <w:rFonts w:hint="eastAsia" w:ascii="黑体" w:hAnsi="黑体" w:eastAsia="黑体" w:cs="黑体"/>
          <w:sz w:val="32"/>
          <w:shd w:val="clear" w:color="auto" w:fill="FFFFFF"/>
        </w:rPr>
        <w:t>年“三公”经费预算情况说明</w:t>
      </w:r>
    </w:p>
    <w:p>
      <w:pPr>
        <w:spacing w:line="560" w:lineRule="exact"/>
        <w:ind w:firstLine="640" w:firstLineChars="200"/>
        <w:outlineLvl w:val="9"/>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6.6</w:t>
      </w:r>
      <w:r>
        <w:rPr>
          <w:rFonts w:hint="eastAsia" w:ascii="仿宋_GB2312" w:hAnsi="黑体" w:eastAsia="仿宋_GB2312"/>
          <w:sz w:val="32"/>
          <w:szCs w:val="32"/>
        </w:rPr>
        <w:t>万元，其中：</w:t>
      </w:r>
    </w:p>
    <w:p>
      <w:pPr>
        <w:spacing w:line="560" w:lineRule="exact"/>
        <w:ind w:firstLine="630"/>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宣传部</w:t>
      </w:r>
      <w:r>
        <w:rPr>
          <w:rFonts w:ascii="Times New Roman" w:hAnsi="Times New Roman" w:eastAsia="仿宋_GB2312" w:cs="Times New Roman"/>
          <w:sz w:val="32"/>
          <w:shd w:val="clear" w:color="auto" w:fill="FFFFFF"/>
        </w:rPr>
        <w:t>（如外事部门等）安排的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6.1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ascii="Times New Roman" w:hAnsi="Times New Roman" w:eastAsia="仿宋_GB2312" w:cs="Times New Roman"/>
          <w:sz w:val="32"/>
        </w:rPr>
        <w:t>增长</w:t>
      </w:r>
      <w:r>
        <w:rPr>
          <w:rFonts w:hint="eastAsia" w:ascii="Times New Roman" w:hAnsi="Times New Roman" w:eastAsia="仿宋_GB2312" w:cs="Times New Roman"/>
          <w:sz w:val="32"/>
          <w:lang w:val="en-US" w:eastAsia="zh-CN"/>
        </w:rPr>
        <w:t>1.66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公务车保量增多</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500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公务接待费减少</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spacing w:line="560" w:lineRule="exact"/>
        <w:ind w:firstLine="640" w:firstLineChars="200"/>
        <w:outlineLvl w:val="9"/>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widowControl/>
        <w:adjustRightInd w:val="0"/>
        <w:snapToGrid w:val="0"/>
        <w:spacing w:line="560" w:lineRule="exact"/>
        <w:ind w:firstLine="640" w:firstLineChars="200"/>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spacing w:line="560" w:lineRule="exact"/>
        <w:ind w:firstLine="640" w:firstLineChars="200"/>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宣传部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outlineLvl w:val="9"/>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512.94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330.94</w:t>
      </w:r>
      <w:r>
        <w:rPr>
          <w:rFonts w:hint="eastAsia" w:ascii="仿宋_GB2312" w:hAnsi="黑体" w:eastAsia="仿宋_GB2312"/>
          <w:sz w:val="32"/>
          <w:szCs w:val="32"/>
        </w:rPr>
        <w:t>万元，主要是城乡社区支出</w:t>
      </w:r>
      <w:r>
        <w:rPr>
          <w:rFonts w:hint="eastAsia" w:ascii="仿宋_GB2312" w:hAnsi="黑体" w:eastAsia="仿宋_GB2312"/>
          <w:sz w:val="32"/>
          <w:szCs w:val="32"/>
          <w:lang w:eastAsia="zh-CN"/>
        </w:rPr>
        <w:t>增多</w:t>
      </w:r>
      <w:r>
        <w:rPr>
          <w:rFonts w:hint="eastAsia" w:ascii="仿宋_GB2312" w:hAnsi="黑体" w:eastAsia="仿宋_GB2312"/>
          <w:sz w:val="32"/>
          <w:szCs w:val="32"/>
        </w:rPr>
        <w:t>。</w:t>
      </w:r>
    </w:p>
    <w:p>
      <w:pPr>
        <w:spacing w:line="560" w:lineRule="exact"/>
        <w:ind w:firstLine="640"/>
        <w:jc w:val="left"/>
        <w:outlineLvl w:val="9"/>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kinsoku/>
        <w:wordWrap/>
        <w:overflowPunct/>
        <w:topLinePunct w:val="0"/>
        <w:autoSpaceDE/>
        <w:autoSpaceDN/>
        <w:bidi w:val="0"/>
        <w:adjustRightInd w:val="0"/>
        <w:snapToGrid w:val="0"/>
        <w:spacing w:line="560" w:lineRule="exact"/>
        <w:ind w:firstLine="800" w:firstLineChars="250"/>
        <w:textAlignment w:val="auto"/>
        <w:outlineLvl w:val="9"/>
        <w:rPr>
          <w:rFonts w:ascii="仿宋_GB2312" w:hAnsi="黑体" w:eastAsia="仿宋_GB2312"/>
          <w:color w:val="auto"/>
          <w:sz w:val="32"/>
          <w:szCs w:val="32"/>
        </w:rPr>
      </w:pPr>
      <w:r>
        <w:rPr>
          <w:rFonts w:hint="eastAsia" w:ascii="仿宋_GB2312" w:hAnsi="黑体" w:eastAsia="仿宋_GB2312" w:cs="仿宋_GB2312"/>
          <w:sz w:val="32"/>
          <w:szCs w:val="32"/>
        </w:rPr>
        <w:t>城乡社区支出（类）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500.94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97.66</w:t>
      </w:r>
      <w:r>
        <w:rPr>
          <w:rFonts w:hint="eastAsia" w:ascii="仿宋_GB2312" w:hAnsi="黑体" w:eastAsia="仿宋_GB2312"/>
          <w:color w:val="auto"/>
          <w:sz w:val="32"/>
          <w:szCs w:val="32"/>
        </w:rPr>
        <w:t>%；其他支出（类）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12.00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2.34</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spacing w:line="560" w:lineRule="exact"/>
        <w:ind w:firstLine="640"/>
        <w:jc w:val="left"/>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500.94</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330.94</w:t>
      </w:r>
      <w:r>
        <w:rPr>
          <w:rFonts w:hint="eastAsia" w:ascii="仿宋_GB2312" w:hAnsi="黑体" w:eastAsia="仿宋_GB2312"/>
          <w:color w:val="000000" w:themeColor="text1"/>
          <w:sz w:val="32"/>
          <w:szCs w:val="32"/>
          <w14:textFill>
            <w14:solidFill>
              <w14:schemeClr w14:val="tx1"/>
            </w14:solidFill>
          </w14:textFill>
        </w:rPr>
        <w:t>万元，主</w:t>
      </w:r>
      <w:r>
        <w:rPr>
          <w:rFonts w:hint="eastAsia" w:ascii="仿宋_GB2312" w:hAnsi="黑体" w:eastAsia="仿宋_GB2312"/>
          <w:color w:val="000000" w:themeColor="text1"/>
          <w:sz w:val="32"/>
          <w:szCs w:val="32"/>
          <w:lang w:eastAsia="zh-CN"/>
          <w14:textFill>
            <w14:solidFill>
              <w14:schemeClr w14:val="tx1"/>
            </w14:solidFill>
          </w14:textFill>
        </w:rPr>
        <w:t>要</w:t>
      </w:r>
      <w:r>
        <w:rPr>
          <w:rFonts w:hint="eastAsia" w:ascii="仿宋_GB2312" w:hAnsi="黑体" w:eastAsia="仿宋_GB2312"/>
          <w:color w:val="000000" w:themeColor="text1"/>
          <w:sz w:val="32"/>
          <w:szCs w:val="32"/>
          <w14:textFill>
            <w14:solidFill>
              <w14:schemeClr w14:val="tx1"/>
            </w14:solidFill>
          </w14:textFill>
        </w:rPr>
        <w:t>是</w:t>
      </w:r>
      <w:r>
        <w:rPr>
          <w:rFonts w:hint="eastAsia" w:ascii="仿宋_GB2312" w:hAnsi="黑体" w:eastAsia="仿宋_GB2312"/>
          <w:sz w:val="32"/>
          <w:szCs w:val="32"/>
        </w:rPr>
        <w:t>是新时代文明实践中心提升项目</w:t>
      </w:r>
      <w:r>
        <w:rPr>
          <w:rFonts w:hint="eastAsia" w:ascii="仿宋_GB2312" w:hAnsi="黑体" w:eastAsia="仿宋_GB2312"/>
          <w:sz w:val="32"/>
          <w:szCs w:val="32"/>
          <w:lang w:eastAsia="zh-CN"/>
        </w:rPr>
        <w:t>、</w:t>
      </w:r>
      <w:r>
        <w:rPr>
          <w:rFonts w:hint="eastAsia" w:ascii="仿宋_GB2312" w:hAnsi="黑体" w:eastAsia="仿宋_GB2312"/>
          <w:sz w:val="32"/>
          <w:szCs w:val="32"/>
        </w:rPr>
        <w:t>文明生态镇立面改造工程维护费</w:t>
      </w:r>
      <w:r>
        <w:rPr>
          <w:rFonts w:hint="eastAsia" w:ascii="仿宋_GB2312" w:hAnsi="黑体" w:eastAsia="仿宋_GB2312"/>
          <w:sz w:val="32"/>
          <w:szCs w:val="32"/>
          <w:lang w:eastAsia="zh-CN"/>
        </w:rPr>
        <w:t>增多</w:t>
      </w:r>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其他支出（类）彩票公益金安排的支出（款）用于教育事业的彩票公益金支出（项）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spacing w:line="560" w:lineRule="exact"/>
        <w:ind w:firstLine="640" w:firstLineChars="200"/>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宣传部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宣传部</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上年结转收入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一</w:t>
      </w:r>
      <w:r>
        <w:rPr>
          <w:rFonts w:hint="eastAsia" w:ascii="仿宋_GB2312" w:hAnsi="黑体" w:eastAsia="仿宋_GB2312"/>
          <w:sz w:val="32"/>
          <w:szCs w:val="32"/>
        </w:rPr>
        <w:t>般公共服务支出、文化旅游体育与传媒支出</w:t>
      </w:r>
      <w:r>
        <w:rPr>
          <w:rFonts w:hint="eastAsia" w:ascii="仿宋_GB2312" w:hAnsi="黑体" w:eastAsia="仿宋_GB2312"/>
          <w:sz w:val="32"/>
          <w:szCs w:val="32"/>
          <w:lang w:eastAsia="zh-CN"/>
        </w:rPr>
        <w:t>、社会保障和就业支出、卫生健康支出、城乡社区支出、住房保障支出、其他支出</w:t>
      </w:r>
      <w:r>
        <w:rPr>
          <w:rFonts w:hint="eastAsia" w:ascii="仿宋_GB2312" w:hAnsi="黑体" w:eastAsia="仿宋_GB2312"/>
          <w:sz w:val="32"/>
          <w:szCs w:val="32"/>
        </w:rPr>
        <w:t>。</w:t>
      </w:r>
      <w:r>
        <w:rPr>
          <w:rFonts w:hint="eastAsia" w:ascii="仿宋_GB2312" w:hAnsi="黑体" w:eastAsia="仿宋_GB2312"/>
          <w:sz w:val="32"/>
          <w:szCs w:val="32"/>
          <w:lang w:eastAsia="zh-CN"/>
        </w:rPr>
        <w:t>宣传部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5096.52</w:t>
      </w:r>
      <w:r>
        <w:rPr>
          <w:rFonts w:hint="eastAsia" w:ascii="仿宋_GB2312" w:hAnsi="黑体" w:eastAsia="仿宋_GB2312"/>
          <w:sz w:val="32"/>
          <w:szCs w:val="32"/>
        </w:rPr>
        <w:t>万元。</w:t>
      </w:r>
    </w:p>
    <w:p>
      <w:pPr>
        <w:spacing w:line="560" w:lineRule="exact"/>
        <w:ind w:firstLine="640" w:firstLineChars="200"/>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宣传部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宣传部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2598.26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14.50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2020.82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77.78</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512.94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19.74</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50.00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1.92</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1292.58</w:t>
      </w:r>
      <w:r>
        <w:rPr>
          <w:rFonts w:hint="eastAsia" w:ascii="仿宋_GB2312" w:hAnsi="黑体" w:eastAsia="仿宋_GB2312"/>
          <w:sz w:val="32"/>
          <w:szCs w:val="32"/>
        </w:rPr>
        <w:t>万元，主要是经费拨款收入</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eastAsia="仿宋_GB2312"/>
          <w:sz w:val="32"/>
          <w:szCs w:val="32"/>
          <w:lang w:eastAsia="zh-CN"/>
        </w:rPr>
        <w:t>、</w:t>
      </w:r>
      <w:r>
        <w:rPr>
          <w:rFonts w:hint="eastAsia" w:ascii="仿宋_GB2312" w:hAnsi="黑体" w:eastAsia="仿宋_GB2312"/>
          <w:sz w:val="32"/>
          <w:szCs w:val="32"/>
        </w:rPr>
        <w:t>其他收入</w:t>
      </w:r>
      <w:r>
        <w:rPr>
          <w:rFonts w:hint="eastAsia" w:ascii="仿宋_GB2312" w:hAnsi="黑体" w:eastAsia="仿宋_GB2312"/>
          <w:sz w:val="32"/>
          <w:szCs w:val="32"/>
          <w:lang w:eastAsia="zh-CN"/>
        </w:rPr>
        <w:t>增加。</w:t>
      </w:r>
    </w:p>
    <w:p>
      <w:pPr>
        <w:spacing w:line="560" w:lineRule="exact"/>
        <w:ind w:firstLine="640" w:firstLineChars="200"/>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宣传部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宣传部2024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2598.26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292.16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11.24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2306.10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88.76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1292.58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基本支出和项目支出增加</w:t>
      </w:r>
      <w:r>
        <w:rPr>
          <w:rFonts w:hint="eastAsia" w:ascii="仿宋_GB2312" w:hAnsi="黑体" w:eastAsia="仿宋_GB2312"/>
          <w:sz w:val="32"/>
          <w:szCs w:val="32"/>
        </w:rPr>
        <w:t>。</w:t>
      </w:r>
    </w:p>
    <w:p>
      <w:pPr>
        <w:spacing w:line="560" w:lineRule="exact"/>
        <w:ind w:firstLine="640" w:firstLineChars="200"/>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outlineLvl w:val="9"/>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宣传部</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35.36</w:t>
      </w:r>
      <w:r>
        <w:rPr>
          <w:rFonts w:hint="eastAsia" w:ascii="仿宋_GB2312" w:hAnsi="黑体" w:eastAsia="仿宋_GB2312"/>
          <w:sz w:val="32"/>
          <w:szCs w:val="32"/>
        </w:rPr>
        <w:t>万元。</w:t>
      </w:r>
    </w:p>
    <w:p>
      <w:pPr>
        <w:spacing w:line="560" w:lineRule="exact"/>
        <w:ind w:firstLine="640" w:firstLineChars="200"/>
        <w:outlineLvl w:val="9"/>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宣传部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300.00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300.00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spacing w:line="560" w:lineRule="exact"/>
        <w:ind w:firstLine="640" w:firstLineChars="200"/>
        <w:outlineLvl w:val="9"/>
        <w:rPr>
          <w:rFonts w:ascii="楷体" w:hAnsi="楷体" w:eastAsia="楷体"/>
          <w:sz w:val="32"/>
          <w:szCs w:val="32"/>
        </w:rPr>
      </w:pPr>
      <w:r>
        <w:rPr>
          <w:rFonts w:hint="eastAsia" w:ascii="楷体" w:hAnsi="楷体" w:eastAsia="楷体"/>
          <w:sz w:val="32"/>
          <w:szCs w:val="32"/>
        </w:rPr>
        <w:t>（三）国有资产占有使用情况</w:t>
      </w:r>
    </w:p>
    <w:p>
      <w:pPr>
        <w:spacing w:line="560" w:lineRule="exact"/>
        <w:ind w:firstLine="640" w:firstLineChars="200"/>
        <w:outlineLvl w:val="9"/>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宣传部</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spacing w:line="560" w:lineRule="exact"/>
        <w:ind w:firstLine="640" w:firstLineChars="200"/>
        <w:outlineLvl w:val="9"/>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宣传部</w:t>
      </w: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2020.82</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512.94</w:t>
      </w:r>
      <w:r>
        <w:rPr>
          <w:rFonts w:hint="eastAsia" w:ascii="仿宋_GB2312" w:hAnsi="黑体" w:eastAsia="仿宋_GB2312"/>
          <w:sz w:val="32"/>
          <w:szCs w:val="32"/>
        </w:rPr>
        <w:t>万元。</w:t>
      </w:r>
    </w:p>
    <w:p>
      <w:pPr>
        <w:spacing w:line="560" w:lineRule="exact"/>
        <w:ind w:firstLine="640" w:firstLineChars="200"/>
        <w:outlineLvl w:val="9"/>
        <w:rPr>
          <w:rFonts w:hint="eastAsia" w:ascii="仿宋_GB2312" w:hAnsi="黑体" w:eastAsia="仿宋_GB2312"/>
          <w:sz w:val="32"/>
          <w:szCs w:val="32"/>
        </w:rPr>
      </w:pPr>
      <w:r>
        <w:rPr>
          <w:rFonts w:hint="eastAsia" w:ascii="仿宋_GB2312" w:hAnsi="黑体" w:eastAsia="仿宋_GB2312" w:cs="仿宋_GB2312"/>
          <w:sz w:val="32"/>
          <w:szCs w:val="32"/>
          <w:lang w:eastAsia="zh-CN"/>
        </w:rPr>
        <w:t>本单位重点项目</w:t>
      </w:r>
      <w:r>
        <w:rPr>
          <w:rFonts w:hint="eastAsia" w:ascii="仿宋_GB2312" w:hAnsi="黑体" w:eastAsia="仿宋_GB2312" w:cs="仿宋_GB2312"/>
          <w:sz w:val="32"/>
          <w:szCs w:val="32"/>
          <w:lang w:val="en-US" w:eastAsia="zh-CN"/>
        </w:rPr>
        <w:t>0个，均实行绩效模板管理，涉及</w:t>
      </w:r>
      <w:r>
        <w:rPr>
          <w:rFonts w:hint="eastAsia" w:ascii="仿宋_GB2312" w:hAnsi="黑体" w:eastAsia="仿宋_GB2312" w:cs="仿宋_GB2312"/>
          <w:sz w:val="32"/>
          <w:szCs w:val="32"/>
        </w:rPr>
        <w:t>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spacing w:line="560" w:lineRule="exact"/>
        <w:jc w:val="center"/>
        <w:outlineLvl w:val="0"/>
        <w:rPr>
          <w:rFonts w:hint="eastAsia" w:ascii="黑体" w:hAnsi="黑体" w:eastAsia="黑体"/>
          <w:b w:val="0"/>
          <w:bCs/>
          <w:sz w:val="32"/>
          <w:szCs w:val="32"/>
        </w:rPr>
      </w:pPr>
      <w:bookmarkStart w:id="5" w:name="_Toc30750"/>
    </w:p>
    <w:p>
      <w:pPr>
        <w:spacing w:line="560" w:lineRule="exact"/>
        <w:jc w:val="center"/>
        <w:outlineLvl w:val="0"/>
        <w:rPr>
          <w:rFonts w:ascii="黑体" w:hAnsi="黑体" w:eastAsia="黑体"/>
          <w:b w:val="0"/>
          <w:bCs/>
          <w:sz w:val="32"/>
          <w:szCs w:val="32"/>
        </w:rPr>
      </w:pPr>
      <w:r>
        <w:rPr>
          <w:rFonts w:hint="eastAsia" w:ascii="黑体" w:hAnsi="黑体" w:eastAsia="黑体"/>
          <w:b w:val="0"/>
          <w:bCs/>
          <w:sz w:val="32"/>
          <w:szCs w:val="32"/>
        </w:rPr>
        <w:t>第四部分  名词解释</w:t>
      </w:r>
      <w:bookmarkEnd w:id="5"/>
    </w:p>
    <w:p>
      <w:pPr>
        <w:spacing w:line="560" w:lineRule="exact"/>
        <w:ind w:firstLine="640" w:firstLineChars="200"/>
        <w:jc w:val="left"/>
        <w:rPr>
          <w:rFonts w:ascii="仿宋_GB2312" w:eastAsia="仿宋_GB2312" w:cs="宋体"/>
          <w:bCs/>
          <w:color w:val="000000"/>
          <w:kern w:val="0"/>
          <w:sz w:val="32"/>
          <w:szCs w:val="32"/>
          <w:lang w:val="zh-CN"/>
        </w:rPr>
      </w:pPr>
    </w:p>
    <w:p>
      <w:pPr>
        <w:spacing w:line="560" w:lineRule="exact"/>
        <w:ind w:firstLine="640" w:firstLineChars="200"/>
        <w:jc w:val="left"/>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0" w:firstLineChars="0"/>
        <w:jc w:val="left"/>
        <w:rPr>
          <w:rFonts w:ascii="仿宋_GB2312" w:hAnsi="黑体" w:eastAsia="仿宋_GB2312" w:cs="仿宋_GB2312"/>
          <w:sz w:val="32"/>
          <w:szCs w:val="32"/>
        </w:rPr>
      </w:pPr>
    </w:p>
    <w:sectPr>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NDFhZGU1NWJiMjA2OGI3MjM5MTlmNTAzYjM3YWQifQ=="/>
  </w:docVars>
  <w:rsids>
    <w:rsidRoot w:val="00000000"/>
    <w:rsid w:val="00875959"/>
    <w:rsid w:val="02231001"/>
    <w:rsid w:val="06647690"/>
    <w:rsid w:val="07212BD4"/>
    <w:rsid w:val="0C811ED6"/>
    <w:rsid w:val="0EE647F3"/>
    <w:rsid w:val="0FD441B7"/>
    <w:rsid w:val="11E145C5"/>
    <w:rsid w:val="1299355C"/>
    <w:rsid w:val="12A54CA7"/>
    <w:rsid w:val="13AD11E4"/>
    <w:rsid w:val="13BE4CA6"/>
    <w:rsid w:val="16802E28"/>
    <w:rsid w:val="19D5DA33"/>
    <w:rsid w:val="1C735979"/>
    <w:rsid w:val="1D3F7072"/>
    <w:rsid w:val="1E965698"/>
    <w:rsid w:val="1ECE11A8"/>
    <w:rsid w:val="1FB65D80"/>
    <w:rsid w:val="1FBF8E30"/>
    <w:rsid w:val="20E267D3"/>
    <w:rsid w:val="21391BCA"/>
    <w:rsid w:val="21DD7ACE"/>
    <w:rsid w:val="22665233"/>
    <w:rsid w:val="230D54BB"/>
    <w:rsid w:val="25903057"/>
    <w:rsid w:val="26BB3295"/>
    <w:rsid w:val="2A123D00"/>
    <w:rsid w:val="2A3F0E99"/>
    <w:rsid w:val="2B1B719B"/>
    <w:rsid w:val="2BDF0DC0"/>
    <w:rsid w:val="2FF7110D"/>
    <w:rsid w:val="2FFFCED3"/>
    <w:rsid w:val="304E285C"/>
    <w:rsid w:val="311F543C"/>
    <w:rsid w:val="32725300"/>
    <w:rsid w:val="350F6D19"/>
    <w:rsid w:val="35CC073B"/>
    <w:rsid w:val="35F63F44"/>
    <w:rsid w:val="3CD75DD9"/>
    <w:rsid w:val="3F0C4922"/>
    <w:rsid w:val="3F7B32B8"/>
    <w:rsid w:val="3F7FB4B5"/>
    <w:rsid w:val="3FAD4D11"/>
    <w:rsid w:val="3FC35A10"/>
    <w:rsid w:val="403D7E1F"/>
    <w:rsid w:val="40A70E30"/>
    <w:rsid w:val="414038F7"/>
    <w:rsid w:val="42C76962"/>
    <w:rsid w:val="42D71956"/>
    <w:rsid w:val="47552A50"/>
    <w:rsid w:val="48A867E4"/>
    <w:rsid w:val="4A101F82"/>
    <w:rsid w:val="4DCD65BD"/>
    <w:rsid w:val="4F471849"/>
    <w:rsid w:val="4FB80849"/>
    <w:rsid w:val="543E7344"/>
    <w:rsid w:val="54CB78F0"/>
    <w:rsid w:val="584F31AB"/>
    <w:rsid w:val="59580DD1"/>
    <w:rsid w:val="5A6879AE"/>
    <w:rsid w:val="5DB7E539"/>
    <w:rsid w:val="5ED56ED0"/>
    <w:rsid w:val="61CC6A8C"/>
    <w:rsid w:val="63972C8F"/>
    <w:rsid w:val="6449175E"/>
    <w:rsid w:val="66485D5E"/>
    <w:rsid w:val="66DA10E6"/>
    <w:rsid w:val="66DACB0B"/>
    <w:rsid w:val="6843739E"/>
    <w:rsid w:val="697BF56A"/>
    <w:rsid w:val="6A842D04"/>
    <w:rsid w:val="6AC72B46"/>
    <w:rsid w:val="6B6CE30F"/>
    <w:rsid w:val="6C7F1319"/>
    <w:rsid w:val="6C847356"/>
    <w:rsid w:val="6DDF74AC"/>
    <w:rsid w:val="6FAF0D8D"/>
    <w:rsid w:val="6FCFCADC"/>
    <w:rsid w:val="6FFA4FE6"/>
    <w:rsid w:val="70440E1F"/>
    <w:rsid w:val="745E1069"/>
    <w:rsid w:val="74B90233"/>
    <w:rsid w:val="74D4508B"/>
    <w:rsid w:val="75FB0B04"/>
    <w:rsid w:val="7610700F"/>
    <w:rsid w:val="782157D7"/>
    <w:rsid w:val="79F7B683"/>
    <w:rsid w:val="7B244DCB"/>
    <w:rsid w:val="7C0733A0"/>
    <w:rsid w:val="7CB46A79"/>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semiHidden/>
    <w:unhideWhenUsed/>
    <w:qFormat/>
    <w:uiPriority w:val="39"/>
  </w:style>
  <w:style w:type="paragraph" w:styleId="5">
    <w:name w:val="toc 2"/>
    <w:basedOn w:val="1"/>
    <w:next w:val="1"/>
    <w:autoRedefine/>
    <w:semiHidden/>
    <w:unhideWhenUsed/>
    <w:qFormat/>
    <w:uiPriority w:val="39"/>
    <w:pPr>
      <w:ind w:left="420" w:leftChars="200"/>
    </w:pPr>
  </w:style>
  <w:style w:type="paragraph" w:customStyle="1" w:styleId="8">
    <w:name w:val="List Paragraph"/>
    <w:basedOn w:val="1"/>
    <w:autoRedefine/>
    <w:qFormat/>
    <w:uiPriority w:val="34"/>
    <w:pPr>
      <w:ind w:firstLine="420" w:firstLineChars="200"/>
    </w:pPr>
  </w:style>
  <w:style w:type="paragraph" w:customStyle="1" w:styleId="9">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3"/>
    <w:autoRedefine/>
    <w:semiHidden/>
    <w:qFormat/>
    <w:uiPriority w:val="99"/>
    <w:rPr>
      <w:sz w:val="18"/>
      <w:szCs w:val="18"/>
    </w:rPr>
  </w:style>
  <w:style w:type="character" w:customStyle="1" w:styleId="11">
    <w:name w:val="页脚 Char"/>
    <w:basedOn w:val="7"/>
    <w:link w:val="2"/>
    <w:autoRedefine/>
    <w:semiHidden/>
    <w:qFormat/>
    <w:uiPriority w:val="99"/>
    <w:rPr>
      <w:sz w:val="18"/>
      <w:szCs w:val="18"/>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 w:type="paragraph" w:customStyle="1" w:styleId="13">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komorebi</cp:lastModifiedBy>
  <cp:lastPrinted>2024-02-19T09:02:00Z</cp:lastPrinted>
  <dcterms:modified xsi:type="dcterms:W3CDTF">2024-02-19T10:06:00Z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8AF69511BD5249F8B0180374CE2EBBAA</vt:lpwstr>
  </property>
</Properties>
</file>