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hint="eastAsia" w:asciiTheme="majorEastAsia" w:hAnsiTheme="majorEastAsia" w:eastAsiaTheme="majorEastAsia" w:cstheme="majorEastAsia"/>
          <w:b/>
          <w:bCs/>
          <w:color w:val="auto"/>
          <w:sz w:val="44"/>
          <w:szCs w:val="44"/>
        </w:rPr>
      </w:pPr>
      <w:r>
        <w:rPr>
          <w:rFonts w:hint="eastAsia" w:asciiTheme="majorEastAsia" w:hAnsiTheme="majorEastAsia" w:eastAsiaTheme="majorEastAsia" w:cstheme="majorEastAsia"/>
          <w:b/>
          <w:bCs/>
          <w:color w:val="auto"/>
          <w:sz w:val="44"/>
          <w:szCs w:val="44"/>
        </w:rPr>
        <w:t>保亭黎族苗族自治县文学艺术界联合会本级2024年度部门决算公开报告</w:t>
      </w:r>
    </w:p>
    <w:p>
      <w:pPr>
        <w:spacing w:line="578" w:lineRule="exact"/>
        <w:jc w:val="center"/>
        <w:rPr>
          <w:rFonts w:hint="eastAsia" w:ascii="黑体" w:hAnsi="ˎ̥" w:eastAsia="黑体"/>
          <w:b/>
          <w:color w:val="auto"/>
          <w:sz w:val="32"/>
          <w:szCs w:val="32"/>
          <w:lang w:eastAsia="zh-CN"/>
        </w:rPr>
      </w:pPr>
    </w:p>
    <w:p>
      <w:pPr>
        <w:spacing w:line="578" w:lineRule="exact"/>
        <w:jc w:val="center"/>
        <w:rPr>
          <w:rFonts w:hint="eastAsia" w:ascii="黑体" w:hAnsi="黑体" w:eastAsia="黑体" w:cs="黑体"/>
          <w:color w:val="auto"/>
          <w:sz w:val="44"/>
          <w:szCs w:val="44"/>
        </w:rPr>
      </w:pPr>
      <w:bookmarkStart w:id="0" w:name="_Toc11440_WPSOffice_Type2"/>
      <w:r>
        <w:rPr>
          <w:rFonts w:hint="eastAsia" w:ascii="黑体" w:hAnsi="黑体" w:eastAsia="黑体" w:cs="黑体"/>
          <w:color w:val="auto"/>
          <w:sz w:val="44"/>
          <w:szCs w:val="44"/>
        </w:rPr>
        <w:t>目  录</w:t>
      </w:r>
    </w:p>
    <w:p>
      <w:pPr>
        <w:pStyle w:val="21"/>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_Toc1704_WPSOffice_Level1 </w:instrText>
      </w:r>
      <w:r>
        <w:rPr>
          <w:color w:val="auto"/>
          <w:sz w:val="32"/>
          <w:szCs w:val="32"/>
        </w:rPr>
        <w:fldChar w:fldCharType="separate"/>
      </w:r>
      <w:r>
        <w:rPr>
          <w:rFonts w:hint="eastAsia" w:ascii="黑体" w:hAnsi="ˎ̥" w:eastAsia="黑体"/>
          <w:color w:val="auto"/>
          <w:sz w:val="32"/>
          <w:szCs w:val="32"/>
        </w:rPr>
        <w:t>第一部分 基本情况</w:t>
      </w:r>
      <w:r>
        <w:rPr>
          <w:color w:val="auto"/>
          <w:sz w:val="32"/>
          <w:szCs w:val="32"/>
        </w:rPr>
        <w:tab/>
      </w:r>
      <w:r>
        <w:rPr>
          <w:color w:val="auto"/>
          <w:sz w:val="32"/>
          <w:szCs w:val="32"/>
        </w:rPr>
        <w:fldChar w:fldCharType="end"/>
      </w:r>
      <w:r>
        <w:rPr>
          <w:rFonts w:hint="eastAsia"/>
          <w:color w:val="auto"/>
          <w:sz w:val="32"/>
          <w:szCs w:val="32"/>
        </w:rPr>
        <w:t>2</w:t>
      </w:r>
    </w:p>
    <w:p>
      <w:pPr>
        <w:pStyle w:val="22"/>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_Toc20274_WPSOffice_Level2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一、部门（单位）职责</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2</w:t>
      </w:r>
    </w:p>
    <w:p>
      <w:pPr>
        <w:pStyle w:val="22"/>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_Toc4833_WPSOffice_Level2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二、机构设置</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2</w:t>
      </w:r>
    </w:p>
    <w:p>
      <w:pPr>
        <w:pStyle w:val="21"/>
        <w:tabs>
          <w:tab w:val="right" w:leader="dot" w:pos="8306"/>
        </w:tabs>
        <w:spacing w:line="578" w:lineRule="exact"/>
        <w:rPr>
          <w:rFonts w:hint="eastAsia" w:eastAsia="宋体"/>
          <w:color w:val="auto"/>
          <w:sz w:val="32"/>
          <w:szCs w:val="32"/>
          <w:lang w:eastAsia="zh-CN"/>
        </w:rPr>
      </w:pPr>
      <w:r>
        <w:rPr>
          <w:color w:val="auto"/>
          <w:sz w:val="32"/>
          <w:szCs w:val="32"/>
        </w:rPr>
        <w:fldChar w:fldCharType="begin"/>
      </w:r>
      <w:r>
        <w:rPr>
          <w:color w:val="auto"/>
          <w:sz w:val="32"/>
          <w:szCs w:val="32"/>
        </w:rPr>
        <w:instrText xml:space="preserve"> HYPERLINK \l _Toc28253_WPSOffice_Level1 </w:instrText>
      </w:r>
      <w:r>
        <w:rPr>
          <w:color w:val="auto"/>
          <w:sz w:val="32"/>
          <w:szCs w:val="32"/>
        </w:rPr>
        <w:fldChar w:fldCharType="separate"/>
      </w:r>
      <w:r>
        <w:rPr>
          <w:rFonts w:hint="eastAsia" w:ascii="黑体" w:hAnsi="ˎ̥" w:eastAsia="黑体"/>
          <w:color w:val="auto"/>
          <w:sz w:val="32"/>
          <w:szCs w:val="32"/>
        </w:rPr>
        <w:t xml:space="preserve">第二部分  </w:t>
      </w:r>
      <w:r>
        <w:rPr>
          <w:rFonts w:hint="default" w:ascii="黑体" w:hAnsi="ˎ̥" w:eastAsia="黑体"/>
          <w:color w:val="auto"/>
          <w:sz w:val="32"/>
          <w:szCs w:val="32"/>
          <w:lang w:val="en-US"/>
        </w:rPr>
        <w:t>2024</w:t>
      </w:r>
      <w:r>
        <w:rPr>
          <w:rFonts w:hint="eastAsia" w:ascii="黑体" w:hAnsi="ˎ̥" w:eastAsia="黑体"/>
          <w:color w:val="auto"/>
          <w:sz w:val="32"/>
          <w:szCs w:val="32"/>
        </w:rPr>
        <w:t>年度部门决算公开表</w:t>
      </w:r>
      <w:r>
        <w:rPr>
          <w:color w:val="auto"/>
          <w:sz w:val="32"/>
          <w:szCs w:val="32"/>
        </w:rPr>
        <w:tab/>
      </w:r>
      <w:r>
        <w:rPr>
          <w:color w:val="auto"/>
          <w:sz w:val="32"/>
          <w:szCs w:val="32"/>
        </w:rPr>
        <w:fldChar w:fldCharType="end"/>
      </w:r>
      <w:r>
        <w:rPr>
          <w:rFonts w:hint="eastAsia"/>
          <w:color w:val="auto"/>
          <w:sz w:val="32"/>
          <w:szCs w:val="32"/>
          <w:lang w:val="en-US" w:eastAsia="zh-CN"/>
        </w:rPr>
        <w:t>4</w:t>
      </w:r>
    </w:p>
    <w:p>
      <w:pPr>
        <w:pStyle w:val="21"/>
        <w:tabs>
          <w:tab w:val="right" w:leader="dot" w:pos="8306"/>
        </w:tabs>
        <w:spacing w:line="578" w:lineRule="exact"/>
        <w:rPr>
          <w:rFonts w:hint="eastAsia" w:eastAsia="宋体"/>
          <w:color w:val="auto"/>
          <w:sz w:val="32"/>
          <w:szCs w:val="32"/>
          <w:lang w:eastAsia="zh-CN"/>
        </w:rPr>
      </w:pPr>
      <w:r>
        <w:rPr>
          <w:color w:val="auto"/>
          <w:sz w:val="32"/>
          <w:szCs w:val="32"/>
        </w:rPr>
        <w:fldChar w:fldCharType="begin"/>
      </w:r>
      <w:r>
        <w:rPr>
          <w:color w:val="auto"/>
          <w:sz w:val="32"/>
          <w:szCs w:val="32"/>
        </w:rPr>
        <w:instrText xml:space="preserve"> HYPERLINK \l _Toc27590_WPSOffice_Level1 </w:instrText>
      </w:r>
      <w:r>
        <w:rPr>
          <w:color w:val="auto"/>
          <w:sz w:val="32"/>
          <w:szCs w:val="32"/>
        </w:rPr>
        <w:fldChar w:fldCharType="separate"/>
      </w:r>
      <w:r>
        <w:rPr>
          <w:rFonts w:hint="eastAsia" w:ascii="黑体" w:hAnsi="黑体" w:eastAsia="黑体" w:cs="黑体"/>
          <w:color w:val="auto"/>
          <w:sz w:val="32"/>
          <w:szCs w:val="32"/>
        </w:rPr>
        <w:t>第三部分</w:t>
      </w:r>
      <w:r>
        <w:rPr>
          <w:rFonts w:hint="eastAsia"/>
          <w:color w:val="auto"/>
          <w:sz w:val="32"/>
          <w:szCs w:val="32"/>
        </w:rPr>
        <w:t xml:space="preserve">  </w:t>
      </w:r>
      <w:r>
        <w:rPr>
          <w:rFonts w:hint="default" w:ascii="黑体" w:hAnsi="ˎ̥" w:eastAsia="黑体"/>
          <w:color w:val="auto"/>
          <w:sz w:val="32"/>
          <w:szCs w:val="32"/>
          <w:lang w:val="en-US"/>
        </w:rPr>
        <w:t>2024</w:t>
      </w:r>
      <w:r>
        <w:rPr>
          <w:rFonts w:hint="eastAsia" w:ascii="黑体" w:hAnsi="ˎ̥" w:eastAsia="黑体"/>
          <w:color w:val="auto"/>
          <w:sz w:val="32"/>
          <w:szCs w:val="32"/>
        </w:rPr>
        <w:t>年度部门决算情况说明</w:t>
      </w:r>
      <w:r>
        <w:rPr>
          <w:color w:val="auto"/>
          <w:sz w:val="32"/>
          <w:szCs w:val="32"/>
        </w:rPr>
        <w:tab/>
      </w:r>
      <w:r>
        <w:rPr>
          <w:color w:val="auto"/>
          <w:sz w:val="32"/>
          <w:szCs w:val="32"/>
        </w:rPr>
        <w:fldChar w:fldCharType="end"/>
      </w:r>
      <w:r>
        <w:rPr>
          <w:rFonts w:hint="eastAsia"/>
          <w:color w:val="auto"/>
          <w:sz w:val="32"/>
          <w:szCs w:val="32"/>
          <w:lang w:val="en-US" w:eastAsia="zh-CN"/>
        </w:rPr>
        <w:t>4</w:t>
      </w:r>
    </w:p>
    <w:p>
      <w:pPr>
        <w:pStyle w:val="22"/>
        <w:tabs>
          <w:tab w:val="right" w:leader="dot" w:pos="8306"/>
        </w:tabs>
        <w:spacing w:line="578" w:lineRule="exact"/>
        <w:ind w:leftChars="0"/>
        <w:rPr>
          <w:rFonts w:hint="eastAsia" w:ascii="仿宋" w:hAnsi="仿宋" w:eastAsia="仿宋" w:cs="仿宋"/>
          <w:color w:val="auto"/>
          <w:sz w:val="32"/>
          <w:szCs w:val="32"/>
          <w:lang w:eastAsia="zh-CN"/>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_Toc21737_WPSOffice_Level2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一、收入支出总体情况说明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lang w:val="en-US" w:eastAsia="zh-CN"/>
        </w:rPr>
        <w:t>4</w:t>
      </w:r>
    </w:p>
    <w:p>
      <w:pPr>
        <w:pStyle w:val="22"/>
        <w:tabs>
          <w:tab w:val="right" w:leader="dot" w:pos="8306"/>
        </w:tabs>
        <w:spacing w:line="578" w:lineRule="exact"/>
        <w:ind w:leftChars="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二、收入决算情况说明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lang w:val="en-US" w:eastAsia="zh-CN"/>
        </w:rPr>
        <w:t>5</w:t>
      </w:r>
    </w:p>
    <w:p>
      <w:pPr>
        <w:pStyle w:val="22"/>
        <w:tabs>
          <w:tab w:val="right" w:leader="dot" w:pos="8306"/>
        </w:tabs>
        <w:spacing w:line="578" w:lineRule="exact"/>
        <w:ind w:leftChars="0"/>
        <w:rPr>
          <w:rFonts w:hint="eastAsia" w:ascii="仿宋" w:hAnsi="仿宋" w:eastAsia="仿宋" w:cs="仿宋"/>
          <w:color w:val="auto"/>
          <w:sz w:val="32"/>
          <w:szCs w:val="32"/>
          <w:lang w:eastAsia="zh-CN"/>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三、支出决算情况说明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lang w:val="en-US" w:eastAsia="zh-CN"/>
        </w:rPr>
        <w:t>6</w:t>
      </w:r>
    </w:p>
    <w:p>
      <w:pPr>
        <w:pStyle w:val="22"/>
        <w:tabs>
          <w:tab w:val="right" w:leader="dot" w:pos="8306"/>
        </w:tabs>
        <w:spacing w:line="578" w:lineRule="exact"/>
        <w:ind w:leftChars="0"/>
        <w:rPr>
          <w:rFonts w:hint="eastAsia" w:ascii="仿宋" w:hAnsi="仿宋" w:eastAsia="仿宋" w:cs="仿宋"/>
          <w:color w:val="auto"/>
          <w:sz w:val="32"/>
          <w:szCs w:val="32"/>
          <w:lang w:eastAsia="zh-CN"/>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四、财政拨款收入支出决算</w:t>
      </w:r>
      <w:r>
        <w:rPr>
          <w:rFonts w:hint="eastAsia" w:ascii="仿宋" w:hAnsi="仿宋" w:eastAsia="仿宋" w:cs="仿宋"/>
          <w:bCs/>
          <w:color w:val="auto"/>
          <w:sz w:val="32"/>
          <w:szCs w:val="32"/>
          <w:lang w:val="en-US" w:eastAsia="zh-CN"/>
        </w:rPr>
        <w:t>总体</w:t>
      </w:r>
      <w:r>
        <w:rPr>
          <w:rFonts w:hint="eastAsia" w:ascii="仿宋" w:hAnsi="仿宋" w:eastAsia="仿宋" w:cs="仿宋"/>
          <w:bCs/>
          <w:color w:val="auto"/>
          <w:sz w:val="32"/>
          <w:szCs w:val="32"/>
        </w:rPr>
        <w:t>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lang w:val="en-US" w:eastAsia="zh-CN"/>
        </w:rPr>
        <w:t>6</w:t>
      </w:r>
    </w:p>
    <w:p>
      <w:pPr>
        <w:pStyle w:val="22"/>
        <w:tabs>
          <w:tab w:val="right" w:leader="dot" w:pos="8306"/>
        </w:tabs>
        <w:spacing w:line="578" w:lineRule="exact"/>
        <w:ind w:leftChars="0"/>
        <w:rPr>
          <w:rFonts w:hint="eastAsia" w:ascii="仿宋" w:hAnsi="仿宋" w:eastAsia="仿宋" w:cs="仿宋"/>
          <w:color w:val="auto"/>
          <w:sz w:val="32"/>
          <w:szCs w:val="32"/>
          <w:lang w:eastAsia="zh-CN"/>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五、一般公共预算财政拨款支出决算情况说明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lang w:val="en-US" w:eastAsia="zh-CN"/>
        </w:rPr>
        <w:t>6</w:t>
      </w:r>
    </w:p>
    <w:p>
      <w:pPr>
        <w:pStyle w:val="22"/>
        <w:tabs>
          <w:tab w:val="right" w:leader="dot" w:pos="8306"/>
        </w:tabs>
        <w:spacing w:line="578" w:lineRule="exact"/>
        <w:ind w:leftChars="0"/>
        <w:rPr>
          <w:rFonts w:hint="eastAsia" w:ascii="仿宋" w:hAnsi="仿宋" w:eastAsia="仿宋" w:cs="仿宋"/>
          <w:color w:val="auto"/>
          <w:sz w:val="32"/>
          <w:szCs w:val="32"/>
          <w:lang w:eastAsia="zh-CN"/>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六、一般公共预算财政拨款基本支出决算情况说明</w:t>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ab/>
      </w:r>
      <w:r>
        <w:rPr>
          <w:rFonts w:hint="eastAsia" w:ascii="仿宋" w:hAnsi="仿宋" w:eastAsia="仿宋" w:cs="仿宋"/>
          <w:color w:val="auto"/>
          <w:sz w:val="32"/>
          <w:szCs w:val="32"/>
          <w:lang w:val="en-US" w:eastAsia="zh-CN"/>
        </w:rPr>
        <w:t>9</w:t>
      </w:r>
    </w:p>
    <w:p>
      <w:pPr>
        <w:pStyle w:val="22"/>
        <w:numPr>
          <w:ilvl w:val="0"/>
          <w:numId w:val="1"/>
        </w:numPr>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政府性基金预算财政拨款支出决算情况说明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lang w:val="en-US" w:eastAsia="zh-CN"/>
        </w:rPr>
        <w:t>10</w:t>
      </w:r>
    </w:p>
    <w:p>
      <w:pPr>
        <w:pStyle w:val="22"/>
        <w:numPr>
          <w:ilvl w:val="0"/>
          <w:numId w:val="1"/>
        </w:numPr>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国有资本经营预算财政拨款支出决算情况说明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lang w:val="en-US" w:eastAsia="zh-CN"/>
        </w:rPr>
        <w:t>10</w:t>
      </w:r>
    </w:p>
    <w:p>
      <w:pPr>
        <w:pStyle w:val="22"/>
        <w:tabs>
          <w:tab w:val="right" w:leader="dot" w:pos="8306"/>
        </w:tabs>
        <w:spacing w:line="578" w:lineRule="exact"/>
        <w:ind w:leftChars="0"/>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九、财政拨款“三公”经费支出决算情况说明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lang w:val="en-US" w:eastAsia="zh-CN"/>
        </w:rPr>
        <w:t>11</w:t>
      </w:r>
    </w:p>
    <w:p>
      <w:pPr>
        <w:pStyle w:val="22"/>
        <w:tabs>
          <w:tab w:val="right" w:leader="dot" w:pos="8306"/>
        </w:tabs>
        <w:spacing w:line="578" w:lineRule="exact"/>
        <w:ind w:leftChars="0"/>
        <w:rPr>
          <w:rFonts w:hint="eastAsia" w:ascii="仿宋" w:hAnsi="仿宋" w:eastAsia="仿宋" w:cs="仿宋"/>
          <w:color w:val="auto"/>
          <w:sz w:val="32"/>
          <w:szCs w:val="32"/>
          <w:lang w:eastAsia="zh-CN"/>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十、预算绩效情况说明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1</w:t>
      </w:r>
      <w:r>
        <w:rPr>
          <w:rFonts w:hint="eastAsia" w:ascii="仿宋" w:hAnsi="仿宋" w:eastAsia="仿宋" w:cs="仿宋"/>
          <w:color w:val="auto"/>
          <w:sz w:val="32"/>
          <w:szCs w:val="32"/>
          <w:lang w:val="en-US" w:eastAsia="zh-CN"/>
        </w:rPr>
        <w:t>2</w:t>
      </w:r>
    </w:p>
    <w:p>
      <w:pPr>
        <w:pStyle w:val="22"/>
        <w:tabs>
          <w:tab w:val="right" w:leader="dot" w:pos="8306"/>
        </w:tabs>
        <w:spacing w:line="578" w:lineRule="exact"/>
        <w:ind w:leftChars="0"/>
        <w:rPr>
          <w:rFonts w:hint="eastAsia" w:ascii="仿宋" w:hAnsi="仿宋" w:eastAsia="仿宋" w:cs="仿宋"/>
          <w:color w:val="auto"/>
          <w:sz w:val="32"/>
          <w:szCs w:val="32"/>
          <w:lang w:eastAsia="zh-CN"/>
        </w:rPr>
      </w:pPr>
      <w:r>
        <w:rPr>
          <w:rFonts w:hint="eastAsia" w:ascii="仿宋" w:hAnsi="仿宋" w:eastAsia="仿宋" w:cs="仿宋"/>
          <w:bCs/>
          <w:color w:val="auto"/>
          <w:sz w:val="32"/>
          <w:szCs w:val="32"/>
        </w:rPr>
        <w:t>十一、其他重要事项情况说明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1</w:t>
      </w:r>
      <w:r>
        <w:rPr>
          <w:rFonts w:hint="eastAsia" w:ascii="仿宋" w:hAnsi="仿宋" w:eastAsia="仿宋" w:cs="仿宋"/>
          <w:color w:val="auto"/>
          <w:sz w:val="32"/>
          <w:szCs w:val="32"/>
          <w:lang w:val="en-US" w:eastAsia="zh-CN"/>
        </w:rPr>
        <w:t>5</w:t>
      </w:r>
    </w:p>
    <w:p>
      <w:pPr>
        <w:pStyle w:val="21"/>
        <w:tabs>
          <w:tab w:val="right" w:leader="dot" w:pos="8306"/>
        </w:tabs>
        <w:spacing w:line="578" w:lineRule="exact"/>
        <w:rPr>
          <w:rFonts w:hint="eastAsia" w:ascii="黑体" w:hAnsi="ˎ̥" w:eastAsia="宋体"/>
          <w:b/>
          <w:color w:val="auto"/>
          <w:sz w:val="32"/>
          <w:szCs w:val="32"/>
          <w:lang w:eastAsia="zh-CN"/>
        </w:rPr>
      </w:pPr>
      <w:r>
        <w:rPr>
          <w:color w:val="auto"/>
          <w:sz w:val="32"/>
          <w:szCs w:val="32"/>
        </w:rPr>
        <w:fldChar w:fldCharType="begin"/>
      </w:r>
      <w:r>
        <w:rPr>
          <w:color w:val="auto"/>
          <w:sz w:val="32"/>
          <w:szCs w:val="32"/>
        </w:rPr>
        <w:instrText xml:space="preserve"> HYPERLINK \l _Toc15425_WPSOffice_Level1 </w:instrText>
      </w:r>
      <w:r>
        <w:rPr>
          <w:color w:val="auto"/>
          <w:sz w:val="32"/>
          <w:szCs w:val="32"/>
        </w:rPr>
        <w:fldChar w:fldCharType="separate"/>
      </w:r>
      <w:r>
        <w:rPr>
          <w:rFonts w:hint="eastAsia" w:ascii="黑体" w:hAnsi="ˎ̥" w:eastAsia="黑体"/>
          <w:color w:val="auto"/>
          <w:sz w:val="32"/>
          <w:szCs w:val="32"/>
        </w:rPr>
        <w:t>第四部分  名词解释</w:t>
      </w:r>
      <w:r>
        <w:rPr>
          <w:color w:val="auto"/>
          <w:sz w:val="32"/>
          <w:szCs w:val="32"/>
        </w:rPr>
        <w:tab/>
      </w:r>
      <w:bookmarkStart w:id="1" w:name="_Toc15425_WPSOffice_Level1Page"/>
      <w:r>
        <w:rPr>
          <w:color w:val="auto"/>
          <w:sz w:val="32"/>
          <w:szCs w:val="32"/>
        </w:rPr>
        <w:t>1</w:t>
      </w:r>
      <w:bookmarkEnd w:id="1"/>
      <w:r>
        <w:rPr>
          <w:color w:val="auto"/>
          <w:sz w:val="32"/>
          <w:szCs w:val="32"/>
        </w:rPr>
        <w:fldChar w:fldCharType="end"/>
      </w:r>
      <w:bookmarkEnd w:id="0"/>
      <w:r>
        <w:rPr>
          <w:rFonts w:hint="eastAsia"/>
          <w:color w:val="auto"/>
          <w:sz w:val="32"/>
          <w:szCs w:val="32"/>
          <w:lang w:val="en-US" w:eastAsia="zh-CN"/>
        </w:rPr>
        <w:t>6</w:t>
      </w:r>
    </w:p>
    <w:p>
      <w:pPr>
        <w:spacing w:line="578" w:lineRule="exact"/>
        <w:jc w:val="both"/>
        <w:rPr>
          <w:rFonts w:hint="eastAsia" w:ascii="黑体" w:hAnsi="ˎ̥" w:eastAsia="黑体"/>
          <w:color w:val="auto"/>
          <w:sz w:val="32"/>
          <w:szCs w:val="32"/>
        </w:rPr>
      </w:pPr>
      <w:bookmarkStart w:id="2" w:name="_Toc23465_WPSOffice_Level1"/>
      <w:bookmarkStart w:id="3" w:name="_Toc32433_WPSOffice_Level1"/>
      <w:bookmarkStart w:id="4" w:name="_Toc1704_WPSOffice_Level1"/>
      <w:bookmarkStart w:id="5" w:name="_Toc10720_WPSOffice_Level1"/>
      <w:bookmarkStart w:id="6" w:name="_Toc22941_WPSOffice_Level1"/>
      <w:bookmarkStart w:id="7" w:name="_Toc10049_WPSOffice_Level1"/>
      <w:bookmarkStart w:id="8" w:name="_Toc14159_WPSOffice_Level2"/>
      <w:bookmarkStart w:id="9" w:name="_Toc20274_WPSOffice_Level2"/>
      <w:bookmarkStart w:id="10" w:name="_Toc32622_WPSOffice_Level2"/>
      <w:bookmarkStart w:id="11" w:name="_Toc24238_WPSOffice_Level2"/>
      <w:bookmarkStart w:id="12" w:name="_Toc20205_WPSOffice_Level2"/>
      <w:bookmarkStart w:id="13" w:name="_Toc26580_WPSOffice_Level2"/>
    </w:p>
    <w:p>
      <w:pPr>
        <w:spacing w:line="578" w:lineRule="exact"/>
        <w:jc w:val="center"/>
        <w:rPr>
          <w:rFonts w:hint="eastAsia" w:ascii="黑体" w:hAnsi="ˎ̥" w:eastAsia="黑体"/>
          <w:color w:val="auto"/>
          <w:sz w:val="32"/>
          <w:szCs w:val="32"/>
        </w:rPr>
      </w:pPr>
      <w:r>
        <w:rPr>
          <w:rFonts w:hint="eastAsia" w:ascii="黑体" w:hAnsi="ˎ̥" w:eastAsia="黑体"/>
          <w:color w:val="auto"/>
          <w:sz w:val="32"/>
          <w:szCs w:val="32"/>
        </w:rPr>
        <w:t xml:space="preserve">第一部分  </w:t>
      </w:r>
      <w:bookmarkEnd w:id="2"/>
      <w:bookmarkEnd w:id="3"/>
      <w:bookmarkEnd w:id="4"/>
      <w:bookmarkEnd w:id="5"/>
      <w:bookmarkEnd w:id="6"/>
      <w:bookmarkEnd w:id="7"/>
      <w:r>
        <w:rPr>
          <w:rFonts w:hint="eastAsia" w:ascii="黑体" w:hAnsi="ˎ̥" w:eastAsia="黑体"/>
          <w:color w:val="auto"/>
          <w:sz w:val="32"/>
          <w:szCs w:val="32"/>
        </w:rPr>
        <w:t>基本情况</w:t>
      </w:r>
    </w:p>
    <w:p>
      <w:pPr>
        <w:spacing w:line="578" w:lineRule="exact"/>
        <w:ind w:firstLine="640" w:firstLineChars="200"/>
        <w:rPr>
          <w:rFonts w:hint="eastAsia" w:ascii="楷体" w:hAnsi="楷体" w:eastAsia="楷体" w:cs="楷体"/>
          <w:color w:val="auto"/>
          <w:sz w:val="32"/>
          <w:szCs w:val="32"/>
        </w:rPr>
      </w:pPr>
    </w:p>
    <w:bookmarkEnd w:id="8"/>
    <w:bookmarkEnd w:id="9"/>
    <w:bookmarkEnd w:id="10"/>
    <w:bookmarkEnd w:id="11"/>
    <w:bookmarkEnd w:id="12"/>
    <w:bookmarkEnd w:id="13"/>
    <w:p>
      <w:pPr>
        <w:numPr>
          <w:ilvl w:val="0"/>
          <w:numId w:val="2"/>
        </w:numPr>
        <w:ind w:firstLine="640" w:firstLineChars="200"/>
        <w:rPr>
          <w:rFonts w:ascii="仿宋_GB2312" w:hAnsi="ˎ̥" w:eastAsia="仿宋_GB2312"/>
          <w:color w:val="auto"/>
          <w:sz w:val="32"/>
          <w:szCs w:val="32"/>
        </w:rPr>
      </w:pPr>
      <w:bookmarkStart w:id="14" w:name="_Toc24059_WPSOffice_Level2"/>
      <w:bookmarkStart w:id="15" w:name="_Toc4833_WPSOffice_Level2"/>
      <w:bookmarkStart w:id="16" w:name="_Toc6572_WPSOffice_Level2"/>
      <w:bookmarkStart w:id="17" w:name="_Toc24474_WPSOffice_Level2"/>
      <w:bookmarkStart w:id="18" w:name="_Toc17796_WPSOffice_Level2"/>
      <w:r>
        <w:rPr>
          <w:rFonts w:hint="eastAsia" w:ascii="黑体" w:hAnsi="黑体" w:eastAsia="黑体" w:cs="黑体"/>
          <w:color w:val="auto"/>
          <w:sz w:val="32"/>
          <w:szCs w:val="32"/>
        </w:rPr>
        <w:t xml:space="preserve">单位职责 </w:t>
      </w:r>
    </w:p>
    <w:p>
      <w:pPr>
        <w:ind w:firstLine="640"/>
        <w:rPr>
          <w:rFonts w:ascii="仿宋_GB2312" w:hAnsi="ˎ̥" w:eastAsia="仿宋_GB2312"/>
          <w:color w:val="auto"/>
          <w:sz w:val="32"/>
          <w:szCs w:val="32"/>
        </w:rPr>
      </w:pPr>
      <w:r>
        <w:rPr>
          <w:rFonts w:hint="eastAsia" w:ascii="仿宋_GB2312" w:hAnsi="ˎ̥" w:eastAsia="仿宋_GB2312"/>
          <w:color w:val="auto"/>
          <w:sz w:val="32"/>
          <w:szCs w:val="32"/>
        </w:rPr>
        <w:t>(一)认真贯彻执行和宣传党的文艺路线、方针、政策，坚定不移走中国特色社会主义文艺发展道路，始终坚持以人民为中心的创作导向，最广泛最紧密地把广大文艺工作者团结凝聚在党的周围，繁荣创作、服务人民。</w:t>
      </w:r>
    </w:p>
    <w:p>
      <w:pPr>
        <w:ind w:firstLine="640"/>
        <w:rPr>
          <w:rFonts w:ascii="仿宋_GB2312" w:hAnsi="ˎ̥" w:eastAsia="仿宋_GB2312"/>
          <w:color w:val="auto"/>
          <w:sz w:val="32"/>
          <w:szCs w:val="32"/>
        </w:rPr>
      </w:pPr>
      <w:r>
        <w:rPr>
          <w:rFonts w:hint="eastAsia" w:ascii="仿宋_GB2312" w:hAnsi="ˎ̥" w:eastAsia="仿宋_GB2312"/>
          <w:color w:val="auto"/>
          <w:sz w:val="32"/>
          <w:szCs w:val="32"/>
        </w:rPr>
        <w:t>(二)负责对各团体会员履行团结引导、联络协调、服务管理、自律维权基本职能，密切联系文艺工作者，最广泛地团结引领广大文艺工作者为繁荣发展社会主义文艺事业，为加快建设经济繁荣、社会文明、生态宜居、人民幸福的美好新保亭贡献力量。</w:t>
      </w:r>
    </w:p>
    <w:p>
      <w:pPr>
        <w:jc w:val="both"/>
        <w:rPr>
          <w:rFonts w:ascii="仿宋_GB2312" w:hAnsi="ˎ̥" w:eastAsia="仿宋_GB2312"/>
          <w:color w:val="auto"/>
          <w:sz w:val="32"/>
          <w:szCs w:val="32"/>
        </w:rPr>
      </w:pPr>
      <w:r>
        <w:rPr>
          <w:rFonts w:hint="eastAsia" w:ascii="仿宋_GB2312" w:hAnsi="ˎ̥" w:eastAsia="仿宋_GB2312"/>
          <w:color w:val="auto"/>
          <w:sz w:val="32"/>
          <w:szCs w:val="32"/>
        </w:rPr>
        <w:t xml:space="preserve">   (三)负责培养文艺人才，组织创作文艺精品，繁荣我县文</w:t>
      </w:r>
    </w:p>
    <w:p>
      <w:pPr>
        <w:jc w:val="both"/>
        <w:rPr>
          <w:rFonts w:ascii="仿宋_GB2312" w:hAnsi="ˎ̥" w:eastAsia="仿宋_GB2312"/>
          <w:color w:val="auto"/>
          <w:sz w:val="32"/>
          <w:szCs w:val="32"/>
        </w:rPr>
      </w:pPr>
      <w:r>
        <w:rPr>
          <w:rFonts w:hint="eastAsia" w:ascii="仿宋_GB2312" w:hAnsi="ˎ̥" w:eastAsia="仿宋_GB2312"/>
          <w:color w:val="auto"/>
          <w:sz w:val="32"/>
          <w:szCs w:val="32"/>
        </w:rPr>
        <w:t>艺事业。</w:t>
      </w:r>
    </w:p>
    <w:p>
      <w:pPr>
        <w:rPr>
          <w:rFonts w:ascii="仿宋_GB2312" w:hAnsi="ˎ̥" w:eastAsia="仿宋_GB2312"/>
          <w:color w:val="auto"/>
          <w:sz w:val="32"/>
          <w:szCs w:val="32"/>
        </w:rPr>
      </w:pPr>
      <w:r>
        <w:rPr>
          <w:rFonts w:hint="eastAsia" w:ascii="仿宋_GB2312" w:hAnsi="ˎ̥" w:eastAsia="仿宋_GB2312"/>
          <w:color w:val="auto"/>
          <w:sz w:val="32"/>
          <w:szCs w:val="32"/>
        </w:rPr>
        <w:t xml:space="preserve">   (四)主办或承办我县美术、书法、摄影等各种文艺展览和与文学艺术相关的社会活动。</w:t>
      </w:r>
    </w:p>
    <w:p>
      <w:pPr>
        <w:jc w:val="both"/>
        <w:rPr>
          <w:rFonts w:ascii="仿宋_GB2312" w:hAnsi="ˎ̥" w:eastAsia="仿宋_GB2312"/>
          <w:color w:val="auto"/>
          <w:sz w:val="32"/>
          <w:szCs w:val="32"/>
        </w:rPr>
      </w:pPr>
      <w:r>
        <w:rPr>
          <w:rFonts w:hint="eastAsia" w:ascii="仿宋_GB2312" w:hAnsi="ˎ̥" w:eastAsia="仿宋_GB2312"/>
          <w:color w:val="auto"/>
          <w:sz w:val="32"/>
          <w:szCs w:val="32"/>
        </w:rPr>
        <w:t xml:space="preserve">   (五)负责办好文艺刊物，组织开展多种形式的文艺活动，</w:t>
      </w:r>
    </w:p>
    <w:p>
      <w:pPr>
        <w:jc w:val="both"/>
        <w:rPr>
          <w:rFonts w:ascii="仿宋_GB2312" w:hAnsi="ˎ̥" w:eastAsia="仿宋_GB2312"/>
          <w:color w:val="auto"/>
          <w:sz w:val="32"/>
          <w:szCs w:val="32"/>
        </w:rPr>
      </w:pPr>
      <w:r>
        <w:rPr>
          <w:rFonts w:hint="eastAsia" w:ascii="仿宋_GB2312" w:hAnsi="ˎ̥" w:eastAsia="仿宋_GB2312"/>
          <w:color w:val="auto"/>
          <w:sz w:val="32"/>
          <w:szCs w:val="32"/>
        </w:rPr>
        <w:t>丰富民众的文化生活，坚守社会主义文化阵地。</w:t>
      </w:r>
    </w:p>
    <w:p>
      <w:pPr>
        <w:jc w:val="both"/>
        <w:rPr>
          <w:rFonts w:ascii="仿宋_GB2312" w:hAnsi="ˎ̥" w:eastAsia="仿宋_GB2312"/>
          <w:color w:val="auto"/>
          <w:sz w:val="32"/>
          <w:szCs w:val="32"/>
        </w:rPr>
      </w:pPr>
      <w:r>
        <w:rPr>
          <w:rFonts w:hint="eastAsia" w:ascii="仿宋_GB2312" w:hAnsi="ˎ̥" w:eastAsia="仿宋_GB2312"/>
          <w:color w:val="auto"/>
          <w:sz w:val="32"/>
          <w:szCs w:val="32"/>
        </w:rPr>
        <w:t xml:space="preserve">   (六)组织文艺创作人员到基层采风，挖掘反映新时代新农</w:t>
      </w:r>
    </w:p>
    <w:p>
      <w:pPr>
        <w:jc w:val="both"/>
        <w:rPr>
          <w:rFonts w:ascii="仿宋_GB2312" w:hAnsi="ˎ̥" w:eastAsia="仿宋_GB2312"/>
          <w:color w:val="auto"/>
          <w:sz w:val="32"/>
          <w:szCs w:val="32"/>
        </w:rPr>
      </w:pPr>
      <w:r>
        <w:rPr>
          <w:rFonts w:hint="eastAsia" w:ascii="仿宋_GB2312" w:hAnsi="ˎ̥" w:eastAsia="仿宋_GB2312"/>
          <w:color w:val="auto"/>
          <w:sz w:val="32"/>
          <w:szCs w:val="32"/>
        </w:rPr>
        <w:t>村改革风貌和本地民族风土人情的文艺素材，创作出人民群众喜闻乐见的文艺作品。</w:t>
      </w:r>
    </w:p>
    <w:p>
      <w:pPr>
        <w:jc w:val="both"/>
        <w:rPr>
          <w:rFonts w:ascii="仿宋_GB2312" w:hAnsi="ˎ̥" w:eastAsia="仿宋_GB2312"/>
          <w:color w:val="auto"/>
          <w:sz w:val="32"/>
          <w:szCs w:val="32"/>
        </w:rPr>
      </w:pPr>
      <w:r>
        <w:rPr>
          <w:rFonts w:hint="eastAsia" w:ascii="仿宋_GB2312" w:hAnsi="ˎ̥" w:eastAsia="仿宋_GB2312"/>
          <w:color w:val="auto"/>
          <w:sz w:val="32"/>
          <w:szCs w:val="32"/>
        </w:rPr>
        <w:t xml:space="preserve">   (七)协调或配合有关部门加强文艺队伍建设，培养和引进</w:t>
      </w:r>
    </w:p>
    <w:p>
      <w:pPr>
        <w:jc w:val="both"/>
        <w:rPr>
          <w:rFonts w:ascii="仿宋_GB2312" w:hAnsi="ˎ̥" w:eastAsia="仿宋_GB2312"/>
          <w:color w:val="auto"/>
          <w:sz w:val="32"/>
          <w:szCs w:val="32"/>
        </w:rPr>
      </w:pPr>
      <w:r>
        <w:rPr>
          <w:rFonts w:hint="eastAsia" w:ascii="仿宋_GB2312" w:hAnsi="ˎ̥" w:eastAsia="仿宋_GB2312"/>
          <w:color w:val="auto"/>
          <w:sz w:val="32"/>
          <w:szCs w:val="32"/>
        </w:rPr>
        <w:t>文艺人才，向上级推荐输送文艺人才和优秀文艺作品。</w:t>
      </w:r>
    </w:p>
    <w:p>
      <w:pPr>
        <w:jc w:val="both"/>
        <w:rPr>
          <w:rFonts w:ascii="仿宋_GB2312" w:hAnsi="ˎ̥" w:eastAsia="仿宋_GB2312"/>
          <w:color w:val="auto"/>
          <w:sz w:val="32"/>
          <w:szCs w:val="32"/>
        </w:rPr>
      </w:pPr>
      <w:r>
        <w:rPr>
          <w:rFonts w:hint="eastAsia" w:ascii="仿宋_GB2312" w:hAnsi="ˎ̥" w:eastAsia="仿宋_GB2312"/>
          <w:color w:val="auto"/>
          <w:sz w:val="32"/>
          <w:szCs w:val="32"/>
        </w:rPr>
        <w:t xml:space="preserve">   (八)组织文学艺术专业人员到外地走访学习，参加县外文学艺术的各种交流活动。</w:t>
      </w:r>
    </w:p>
    <w:p>
      <w:pPr>
        <w:jc w:val="both"/>
        <w:rPr>
          <w:rFonts w:ascii="仿宋_GB2312" w:hAnsi="ˎ̥" w:eastAsia="仿宋_GB2312"/>
          <w:color w:val="auto"/>
          <w:sz w:val="32"/>
          <w:szCs w:val="32"/>
        </w:rPr>
      </w:pPr>
      <w:r>
        <w:rPr>
          <w:rFonts w:hint="eastAsia" w:ascii="仿宋_GB2312" w:hAnsi="ˎ̥" w:eastAsia="仿宋_GB2312"/>
          <w:color w:val="auto"/>
          <w:sz w:val="32"/>
          <w:szCs w:val="32"/>
        </w:rPr>
        <w:t xml:space="preserve">   (九)依法保护文艺工作者的合法权益，为文艺工作者排忧解难，营造宽松的文艺环境和良好的创作平台。</w:t>
      </w:r>
    </w:p>
    <w:p>
      <w:pPr>
        <w:jc w:val="both"/>
        <w:rPr>
          <w:rFonts w:ascii="黑体" w:hAnsi="黑体" w:eastAsia="黑体" w:cs="黑体"/>
          <w:color w:val="auto"/>
          <w:sz w:val="32"/>
          <w:szCs w:val="32"/>
        </w:rPr>
      </w:pPr>
      <w:r>
        <w:rPr>
          <w:rFonts w:hint="eastAsia" w:ascii="仿宋_GB2312" w:hAnsi="ˎ̥" w:eastAsia="仿宋_GB2312"/>
          <w:color w:val="auto"/>
          <w:sz w:val="32"/>
          <w:szCs w:val="32"/>
        </w:rPr>
        <w:t xml:space="preserve">   (十)承办县委、县政府及上级文联交办的其他工作任务。</w:t>
      </w:r>
    </w:p>
    <w:p>
      <w:pPr>
        <w:spacing w:line="578" w:lineRule="exact"/>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二、机构设置</w:t>
      </w:r>
      <w:bookmarkEnd w:id="14"/>
      <w:bookmarkEnd w:id="15"/>
      <w:bookmarkEnd w:id="16"/>
      <w:bookmarkEnd w:id="17"/>
      <w:bookmarkEnd w:id="18"/>
    </w:p>
    <w:p>
      <w:pPr>
        <w:ind w:firstLine="640" w:firstLineChars="200"/>
        <w:jc w:val="both"/>
        <w:rPr>
          <w:rFonts w:ascii="仿宋_GB2312" w:hAnsi="ˎ̥" w:eastAsia="仿宋_GB2312"/>
          <w:color w:val="auto"/>
          <w:sz w:val="32"/>
          <w:szCs w:val="32"/>
        </w:rPr>
      </w:pPr>
      <w:bookmarkStart w:id="19" w:name="_Toc24421_WPSOffice_Level2"/>
      <w:bookmarkStart w:id="20" w:name="_Toc25738_WPSOffice_Level2"/>
      <w:r>
        <w:rPr>
          <w:rFonts w:hint="eastAsia" w:ascii="仿宋_GB2312" w:eastAsia="仿宋_GB2312"/>
          <w:color w:val="auto"/>
          <w:sz w:val="32"/>
          <w:szCs w:val="32"/>
        </w:rPr>
        <w:t>纳入</w:t>
      </w:r>
      <w:r>
        <w:rPr>
          <w:rFonts w:hint="eastAsia" w:ascii="仿宋_GB2312" w:hAnsi="ˎ̥" w:eastAsia="仿宋_GB2312"/>
          <w:color w:val="auto"/>
          <w:sz w:val="32"/>
          <w:szCs w:val="32"/>
        </w:rPr>
        <w:t>保亭县文联部门</w:t>
      </w: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4</w:t>
      </w:r>
      <w:r>
        <w:rPr>
          <w:rFonts w:hint="eastAsia" w:ascii="仿宋_GB2312" w:eastAsia="仿宋_GB2312"/>
          <w:color w:val="auto"/>
          <w:sz w:val="32"/>
          <w:szCs w:val="32"/>
        </w:rPr>
        <w:t>年度部门决算</w:t>
      </w:r>
      <w:r>
        <w:rPr>
          <w:rFonts w:hint="eastAsia" w:ascii="仿宋_GB2312" w:hAnsi="ˎ̥" w:eastAsia="仿宋_GB2312"/>
          <w:color w:val="auto"/>
          <w:sz w:val="32"/>
          <w:szCs w:val="32"/>
        </w:rPr>
        <w:t>编制范围的二级预算单位包括：</w:t>
      </w:r>
    </w:p>
    <w:p>
      <w:pPr>
        <w:ind w:firstLine="640" w:firstLineChars="200"/>
        <w:jc w:val="both"/>
        <w:rPr>
          <w:rFonts w:ascii="仿宋_GB2312" w:hAnsi="ˎ̥" w:eastAsia="仿宋_GB2312"/>
          <w:color w:val="auto"/>
          <w:sz w:val="32"/>
          <w:szCs w:val="32"/>
        </w:rPr>
      </w:pPr>
      <w:r>
        <w:rPr>
          <w:rFonts w:hint="eastAsia" w:ascii="仿宋_GB2312" w:hAnsi="ˎ̥" w:eastAsia="仿宋_GB2312"/>
          <w:color w:val="auto"/>
          <w:sz w:val="32"/>
          <w:szCs w:val="32"/>
        </w:rPr>
        <w:t>(一）县文联设下列内设岗位：</w:t>
      </w:r>
    </w:p>
    <w:p>
      <w:pPr>
        <w:ind w:firstLine="640" w:firstLineChars="200"/>
        <w:jc w:val="both"/>
        <w:rPr>
          <w:rFonts w:ascii="仿宋_GB2312" w:hAnsi="ˎ̥" w:eastAsia="仿宋_GB2312"/>
          <w:color w:val="auto"/>
          <w:sz w:val="32"/>
          <w:szCs w:val="32"/>
        </w:rPr>
      </w:pPr>
      <w:r>
        <w:rPr>
          <w:rFonts w:hint="eastAsia" w:ascii="仿宋_GB2312" w:hAnsi="ˎ̥" w:eastAsia="仿宋_GB2312"/>
          <w:color w:val="auto"/>
          <w:sz w:val="32"/>
          <w:szCs w:val="32"/>
        </w:rPr>
        <w:t>1.综合文秘岗。负责计划和安排文联领导及文联重大活动，协助文联领导协调和组织相关部门单位与全县各文艺家协会的工作；负责财务、会务、文秘、档案、人事、信息等日常管理工作；负责制定内部规章制度；承办领导交办的其他工作。</w:t>
      </w:r>
    </w:p>
    <w:p>
      <w:pPr>
        <w:jc w:val="both"/>
        <w:rPr>
          <w:rFonts w:ascii="仿宋_GB2312" w:hAnsi="ˎ̥" w:eastAsia="仿宋_GB2312"/>
          <w:color w:val="auto"/>
          <w:sz w:val="32"/>
          <w:szCs w:val="32"/>
        </w:rPr>
      </w:pPr>
      <w:r>
        <w:rPr>
          <w:rFonts w:hint="eastAsia" w:ascii="仿宋_GB2312" w:hAnsi="ˎ̥" w:eastAsia="仿宋_GB2312"/>
          <w:color w:val="auto"/>
          <w:sz w:val="32"/>
          <w:szCs w:val="32"/>
        </w:rPr>
        <w:t xml:space="preserve">    2.艺研组联岗。负责联络协调各文艺团体会员，组织对外交流、采风创作、文艺展演、文艺评奖、文艺惠民等工作，管理挂靠的文艺社团；负责拟定文艺创作规划或计划，组织开展文艺评论、作品推介宣传和调查研究；负责我县《七仙岭文艺》刊物的编辑工作；负责收集、整理文艺历史资料等工作；承办领导交办的其他工作。</w:t>
      </w:r>
    </w:p>
    <w:p>
      <w:pPr>
        <w:ind w:firstLine="640" w:firstLineChars="200"/>
        <w:jc w:val="both"/>
        <w:rPr>
          <w:rFonts w:ascii="仿宋_GB2312" w:hAnsi="ˎ̥" w:eastAsia="仿宋_GB2312"/>
          <w:color w:val="auto"/>
          <w:sz w:val="32"/>
          <w:szCs w:val="32"/>
        </w:rPr>
      </w:pPr>
      <w:r>
        <w:rPr>
          <w:rFonts w:hint="eastAsia" w:ascii="楷体" w:hAnsi="楷体" w:eastAsia="楷体" w:cs="楷体"/>
          <w:color w:val="auto"/>
          <w:sz w:val="32"/>
          <w:szCs w:val="32"/>
        </w:rPr>
        <w:t>（二）</w:t>
      </w:r>
      <w:r>
        <w:rPr>
          <w:rFonts w:hint="eastAsia" w:ascii="仿宋_GB2312" w:hAnsi="ˎ̥" w:eastAsia="仿宋_GB2312"/>
          <w:color w:val="auto"/>
          <w:sz w:val="32"/>
          <w:szCs w:val="32"/>
        </w:rPr>
        <w:t>本单位无二级预算单位。</w:t>
      </w:r>
    </w:p>
    <w:bookmarkEnd w:id="19"/>
    <w:bookmarkEnd w:id="20"/>
    <w:p>
      <w:pPr>
        <w:spacing w:line="578" w:lineRule="exact"/>
        <w:jc w:val="center"/>
        <w:rPr>
          <w:rFonts w:hint="eastAsia" w:ascii="黑体" w:hAnsi="ˎ̥" w:eastAsia="黑体"/>
          <w:color w:val="auto"/>
          <w:sz w:val="32"/>
          <w:szCs w:val="32"/>
        </w:rPr>
      </w:pPr>
      <w:bookmarkStart w:id="21" w:name="_Toc28253_WPSOffice_Level1"/>
      <w:bookmarkStart w:id="22" w:name="_Toc15521_WPSOffice_Level1"/>
      <w:bookmarkStart w:id="23" w:name="_Toc8164_WPSOffice_Level1"/>
      <w:bookmarkStart w:id="24" w:name="_Toc6234_WPSOffice_Level1"/>
      <w:bookmarkStart w:id="25" w:name="_Toc30451_WPSOffice_Level1"/>
      <w:bookmarkStart w:id="26" w:name="_Toc30690_WPSOffice_Level1"/>
      <w:bookmarkStart w:id="27" w:name="_Toc32472_WPSOffice_Level2"/>
      <w:bookmarkStart w:id="28" w:name="_Toc8867_WPSOffice_Level2"/>
      <w:bookmarkStart w:id="29" w:name="_Toc4029_WPSOffice_Level2"/>
      <w:bookmarkStart w:id="30" w:name="_Toc32695_WPSOffice_Level2"/>
      <w:bookmarkStart w:id="31" w:name="_Toc6211_WPSOffice_Level2"/>
      <w:bookmarkStart w:id="32" w:name="_Toc11518_WPSOffice_Level2"/>
    </w:p>
    <w:p>
      <w:pPr>
        <w:spacing w:line="578" w:lineRule="exact"/>
        <w:jc w:val="center"/>
        <w:rPr>
          <w:rFonts w:hint="eastAsia" w:ascii="黑体" w:hAnsi="ˎ̥" w:eastAsia="黑体"/>
          <w:color w:val="auto"/>
          <w:sz w:val="32"/>
          <w:szCs w:val="32"/>
        </w:rPr>
      </w:pPr>
      <w:r>
        <w:rPr>
          <w:rFonts w:hint="eastAsia" w:ascii="黑体" w:hAnsi="ˎ̥" w:eastAsia="黑体"/>
          <w:color w:val="auto"/>
          <w:sz w:val="32"/>
          <w:szCs w:val="32"/>
        </w:rPr>
        <w:t xml:space="preserve">第二部分  </w:t>
      </w:r>
      <w:r>
        <w:rPr>
          <w:rFonts w:hint="default" w:ascii="黑体" w:hAnsi="ˎ̥" w:eastAsia="黑体"/>
          <w:color w:val="auto"/>
          <w:sz w:val="32"/>
          <w:szCs w:val="32"/>
          <w:lang w:val="en-US"/>
        </w:rPr>
        <w:t>2024</w:t>
      </w:r>
      <w:r>
        <w:rPr>
          <w:rFonts w:hint="eastAsia" w:ascii="黑体" w:hAnsi="ˎ̥" w:eastAsia="黑体"/>
          <w:color w:val="auto"/>
          <w:sz w:val="32"/>
          <w:szCs w:val="32"/>
        </w:rPr>
        <w:t>年度部门决算公开报表</w:t>
      </w:r>
      <w:bookmarkEnd w:id="21"/>
      <w:bookmarkEnd w:id="22"/>
      <w:bookmarkEnd w:id="23"/>
      <w:bookmarkEnd w:id="24"/>
      <w:bookmarkEnd w:id="25"/>
      <w:bookmarkEnd w:id="26"/>
    </w:p>
    <w:p>
      <w:pPr>
        <w:spacing w:line="578" w:lineRule="exact"/>
        <w:ind w:firstLine="645"/>
        <w:rPr>
          <w:rFonts w:hint="eastAsia" w:ascii="黑体" w:hAnsi="黑体" w:eastAsia="黑体" w:cs="黑体"/>
          <w:color w:val="auto"/>
          <w:sz w:val="32"/>
          <w:szCs w:val="32"/>
        </w:rPr>
      </w:pPr>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一、收入支出决算公开表</w:t>
      </w:r>
      <w:bookmarkEnd w:id="27"/>
      <w:bookmarkEnd w:id="28"/>
      <w:bookmarkEnd w:id="29"/>
      <w:bookmarkEnd w:id="30"/>
      <w:bookmarkEnd w:id="31"/>
      <w:bookmarkEnd w:id="32"/>
    </w:p>
    <w:p>
      <w:pPr>
        <w:spacing w:line="578" w:lineRule="exact"/>
        <w:ind w:firstLine="645"/>
        <w:rPr>
          <w:rFonts w:hint="eastAsia" w:ascii="黑体" w:hAnsi="黑体" w:eastAsia="黑体" w:cs="黑体"/>
          <w:color w:val="auto"/>
          <w:sz w:val="32"/>
          <w:szCs w:val="32"/>
        </w:rPr>
      </w:pPr>
      <w:bookmarkStart w:id="33" w:name="_Toc26621_WPSOffice_Level2"/>
      <w:bookmarkStart w:id="34" w:name="_Toc25608_WPSOffice_Level2"/>
      <w:bookmarkStart w:id="35" w:name="_Toc30334_WPSOffice_Level2"/>
      <w:bookmarkStart w:id="36" w:name="_Toc28622_WPSOffice_Level2"/>
      <w:bookmarkStart w:id="37" w:name="_Toc23139_WPSOffice_Level2"/>
      <w:bookmarkStart w:id="38" w:name="_Toc14349_WPSOffice_Level2"/>
      <w:r>
        <w:rPr>
          <w:rFonts w:hint="eastAsia" w:ascii="黑体" w:hAnsi="黑体" w:eastAsia="黑体" w:cs="黑体"/>
          <w:color w:val="auto"/>
          <w:sz w:val="32"/>
          <w:szCs w:val="32"/>
        </w:rPr>
        <w:t>二、收入决算公开表</w:t>
      </w:r>
      <w:bookmarkEnd w:id="33"/>
      <w:bookmarkEnd w:id="34"/>
      <w:bookmarkEnd w:id="35"/>
      <w:bookmarkEnd w:id="36"/>
      <w:bookmarkEnd w:id="37"/>
      <w:bookmarkEnd w:id="38"/>
      <w:bookmarkStart w:id="39" w:name="_Toc17626_WPSOffice_Level2"/>
      <w:bookmarkStart w:id="40" w:name="_Toc14658_WPSOffice_Level2"/>
      <w:bookmarkStart w:id="41" w:name="_Toc17858_WPSOffice_Level2"/>
      <w:bookmarkStart w:id="42" w:name="_Toc5489_WPSOffice_Level2"/>
      <w:bookmarkStart w:id="43" w:name="_Toc3262_WPSOffice_Level2"/>
      <w:bookmarkStart w:id="44" w:name="_Toc13854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三、支出决算公开表</w:t>
      </w:r>
      <w:bookmarkEnd w:id="39"/>
      <w:bookmarkEnd w:id="40"/>
      <w:bookmarkEnd w:id="41"/>
      <w:bookmarkEnd w:id="42"/>
      <w:bookmarkEnd w:id="43"/>
      <w:bookmarkEnd w:id="44"/>
      <w:bookmarkStart w:id="45" w:name="_Toc21415_WPSOffice_Level2"/>
      <w:bookmarkStart w:id="46" w:name="_Toc23493_WPSOffice_Level2"/>
      <w:bookmarkStart w:id="47" w:name="_Toc7988_WPSOffice_Level2"/>
      <w:bookmarkStart w:id="48" w:name="_Toc4265_WPSOffice_Level2"/>
      <w:bookmarkStart w:id="49" w:name="_Toc13701_WPSOffice_Level2"/>
      <w:bookmarkStart w:id="50" w:name="_Toc23591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四、财政拨款收入支出决算公开表</w:t>
      </w:r>
      <w:bookmarkEnd w:id="45"/>
      <w:bookmarkEnd w:id="46"/>
      <w:bookmarkEnd w:id="47"/>
      <w:bookmarkEnd w:id="48"/>
      <w:bookmarkEnd w:id="49"/>
      <w:bookmarkEnd w:id="50"/>
    </w:p>
    <w:p>
      <w:pPr>
        <w:spacing w:line="578" w:lineRule="exact"/>
        <w:ind w:firstLine="645"/>
        <w:rPr>
          <w:rFonts w:hint="eastAsia" w:ascii="黑体" w:hAnsi="黑体" w:eastAsia="黑体" w:cs="黑体"/>
          <w:color w:val="auto"/>
          <w:sz w:val="32"/>
          <w:szCs w:val="32"/>
        </w:rPr>
      </w:pPr>
      <w:bookmarkStart w:id="51" w:name="_Toc7879_WPSOffice_Level2"/>
      <w:bookmarkStart w:id="52" w:name="_Toc23829_WPSOffice_Level2"/>
      <w:bookmarkStart w:id="53" w:name="_Toc22783_WPSOffice_Level2"/>
      <w:bookmarkStart w:id="54" w:name="_Toc25166_WPSOffice_Level2"/>
      <w:bookmarkStart w:id="55" w:name="_Toc13516_WPSOffice_Level2"/>
      <w:bookmarkStart w:id="56" w:name="_Toc2158_WPSOffice_Level2"/>
      <w:r>
        <w:rPr>
          <w:rFonts w:hint="eastAsia" w:ascii="黑体" w:hAnsi="黑体" w:eastAsia="黑体" w:cs="黑体"/>
          <w:color w:val="auto"/>
          <w:sz w:val="32"/>
          <w:szCs w:val="32"/>
        </w:rPr>
        <w:t>五、一般公共预算财政拨款收入支出决算</w:t>
      </w:r>
      <w:bookmarkEnd w:id="51"/>
      <w:bookmarkEnd w:id="52"/>
      <w:bookmarkEnd w:id="53"/>
      <w:bookmarkEnd w:id="54"/>
      <w:r>
        <w:rPr>
          <w:rFonts w:hint="eastAsia" w:ascii="黑体" w:hAnsi="黑体" w:eastAsia="黑体" w:cs="黑体"/>
          <w:color w:val="auto"/>
          <w:sz w:val="32"/>
          <w:szCs w:val="32"/>
        </w:rPr>
        <w:t>公开表</w:t>
      </w:r>
      <w:bookmarkEnd w:id="55"/>
      <w:bookmarkEnd w:id="56"/>
      <w:bookmarkStart w:id="57" w:name="_Toc25362_WPSOffice_Level2"/>
      <w:bookmarkStart w:id="58" w:name="_Toc17283_WPSOffice_Level2"/>
      <w:bookmarkStart w:id="59" w:name="_Toc5343_WPSOffice_Level2"/>
      <w:bookmarkStart w:id="60" w:name="_Toc8373_WPSOffice_Level2"/>
      <w:bookmarkStart w:id="61" w:name="_Toc17833_WPSOffice_Level2"/>
      <w:bookmarkStart w:id="62" w:name="_Toc2632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六、一般公共预算财政拨款基本支出决算</w:t>
      </w:r>
      <w:bookmarkEnd w:id="57"/>
      <w:bookmarkEnd w:id="58"/>
      <w:bookmarkEnd w:id="59"/>
      <w:bookmarkEnd w:id="60"/>
      <w:bookmarkEnd w:id="61"/>
      <w:bookmarkEnd w:id="62"/>
      <w:r>
        <w:rPr>
          <w:rFonts w:hint="eastAsia" w:ascii="黑体" w:hAnsi="黑体" w:eastAsia="黑体" w:cs="黑体"/>
          <w:color w:val="auto"/>
          <w:sz w:val="32"/>
          <w:szCs w:val="32"/>
        </w:rPr>
        <w:t>公开表</w:t>
      </w:r>
    </w:p>
    <w:p>
      <w:pPr>
        <w:spacing w:line="578" w:lineRule="exact"/>
        <w:ind w:left="1118" w:leftChars="304" w:hanging="480" w:hangingChars="150"/>
        <w:rPr>
          <w:rFonts w:hint="eastAsia" w:ascii="黑体" w:hAnsi="黑体" w:eastAsia="黑体" w:cs="黑体"/>
          <w:color w:val="auto"/>
          <w:sz w:val="32"/>
          <w:szCs w:val="32"/>
        </w:rPr>
      </w:pPr>
      <w:bookmarkStart w:id="63" w:name="_Toc5594_WPSOffice_Level2"/>
      <w:bookmarkStart w:id="64" w:name="_Toc11799_WPSOffice_Level2"/>
      <w:bookmarkStart w:id="65" w:name="_Toc13345_WPSOffice_Level2"/>
      <w:bookmarkStart w:id="66" w:name="_Toc6020_WPSOffice_Level2"/>
      <w:bookmarkStart w:id="67" w:name="_Toc1533_WPSOffice_Level2"/>
      <w:bookmarkStart w:id="68" w:name="_Toc21310_WPSOffice_Level2"/>
      <w:r>
        <w:rPr>
          <w:rFonts w:hint="eastAsia" w:ascii="黑体" w:hAnsi="黑体" w:eastAsia="黑体" w:cs="黑体"/>
          <w:color w:val="auto"/>
          <w:sz w:val="32"/>
          <w:szCs w:val="32"/>
        </w:rPr>
        <w:t>七、政府性基金预算财政拨款收入支出决算</w:t>
      </w:r>
      <w:bookmarkEnd w:id="63"/>
      <w:bookmarkEnd w:id="64"/>
      <w:bookmarkEnd w:id="65"/>
      <w:bookmarkEnd w:id="66"/>
      <w:bookmarkEnd w:id="67"/>
      <w:bookmarkEnd w:id="68"/>
      <w:r>
        <w:rPr>
          <w:rFonts w:hint="eastAsia" w:ascii="黑体" w:hAnsi="黑体" w:eastAsia="黑体" w:cs="黑体"/>
          <w:color w:val="auto"/>
          <w:sz w:val="32"/>
          <w:szCs w:val="32"/>
        </w:rPr>
        <w:t>公开表</w:t>
      </w:r>
    </w:p>
    <w:p>
      <w:pPr>
        <w:spacing w:line="578" w:lineRule="exact"/>
        <w:ind w:left="1118" w:leftChars="304" w:hanging="480" w:hangingChars="150"/>
        <w:rPr>
          <w:rFonts w:hint="eastAsia" w:ascii="黑体" w:hAnsi="黑体" w:eastAsia="黑体" w:cs="黑体"/>
          <w:color w:val="auto"/>
          <w:sz w:val="32"/>
          <w:szCs w:val="32"/>
        </w:rPr>
      </w:pPr>
      <w:r>
        <w:rPr>
          <w:rFonts w:hint="eastAsia" w:ascii="黑体" w:hAnsi="黑体" w:eastAsia="黑体" w:cs="黑体"/>
          <w:color w:val="auto"/>
          <w:sz w:val="32"/>
          <w:szCs w:val="32"/>
        </w:rPr>
        <w:t>八、国有资本经营预算财政拨款收入支出决算公开表</w:t>
      </w:r>
    </w:p>
    <w:p>
      <w:pPr>
        <w:spacing w:line="578" w:lineRule="exact"/>
        <w:ind w:firstLine="640"/>
        <w:rPr>
          <w:rFonts w:hint="eastAsia" w:ascii="黑体" w:hAnsi="黑体" w:eastAsia="黑体" w:cs="黑体"/>
          <w:color w:val="auto"/>
          <w:sz w:val="32"/>
          <w:szCs w:val="32"/>
        </w:rPr>
      </w:pPr>
      <w:bookmarkStart w:id="69" w:name="_Toc29886_WPSOffice_Level2"/>
      <w:bookmarkStart w:id="70" w:name="_Toc9377_WPSOffice_Level2"/>
      <w:bookmarkStart w:id="71" w:name="_Toc19961_WPSOffice_Level2"/>
      <w:bookmarkStart w:id="72" w:name="_Toc1820_WPSOffice_Level2"/>
      <w:r>
        <w:rPr>
          <w:rFonts w:hint="eastAsia" w:ascii="黑体" w:hAnsi="黑体" w:eastAsia="黑体" w:cs="黑体"/>
          <w:color w:val="auto"/>
          <w:sz w:val="32"/>
          <w:szCs w:val="32"/>
        </w:rPr>
        <w:t>九、财政拨款“三公”经费支出决算</w:t>
      </w:r>
      <w:bookmarkEnd w:id="69"/>
      <w:bookmarkEnd w:id="70"/>
      <w:bookmarkEnd w:id="71"/>
      <w:bookmarkEnd w:id="72"/>
      <w:r>
        <w:rPr>
          <w:rFonts w:hint="eastAsia" w:ascii="黑体" w:hAnsi="黑体" w:eastAsia="黑体" w:cs="黑体"/>
          <w:color w:val="auto"/>
          <w:sz w:val="32"/>
          <w:szCs w:val="32"/>
        </w:rPr>
        <w:t>公开表</w:t>
      </w:r>
    </w:p>
    <w:p>
      <w:pPr>
        <w:spacing w:line="578" w:lineRule="exact"/>
        <w:ind w:firstLine="640"/>
        <w:rPr>
          <w:rFonts w:hint="eastAsia" w:ascii="仿宋" w:hAnsi="仿宋" w:eastAsia="仿宋" w:cs="仿宋"/>
          <w:color w:val="auto"/>
          <w:w w:val="100"/>
          <w:sz w:val="32"/>
          <w:szCs w:val="32"/>
        </w:rPr>
      </w:pPr>
      <w:r>
        <w:rPr>
          <w:rFonts w:hint="eastAsia" w:ascii="仿宋" w:hAnsi="仿宋" w:eastAsia="仿宋" w:cs="仿宋"/>
          <w:color w:val="auto"/>
          <w:w w:val="100"/>
          <w:sz w:val="32"/>
          <w:szCs w:val="32"/>
        </w:rPr>
        <w:t xml:space="preserve">以上报表见附件1。   </w:t>
      </w:r>
    </w:p>
    <w:p>
      <w:pPr>
        <w:spacing w:line="578" w:lineRule="exact"/>
        <w:rPr>
          <w:rFonts w:hint="eastAsia" w:ascii="黑体" w:hAnsi="黑体" w:eastAsia="黑体" w:cs="黑体"/>
          <w:color w:val="auto"/>
          <w:sz w:val="32"/>
          <w:szCs w:val="32"/>
        </w:rPr>
      </w:pPr>
    </w:p>
    <w:p>
      <w:pPr>
        <w:spacing w:line="578" w:lineRule="exact"/>
        <w:jc w:val="center"/>
        <w:rPr>
          <w:rFonts w:hint="eastAsia" w:ascii="黑体" w:hAnsi="ˎ̥" w:eastAsia="黑体"/>
          <w:color w:val="auto"/>
          <w:sz w:val="32"/>
          <w:szCs w:val="32"/>
        </w:rPr>
      </w:pPr>
      <w:bookmarkStart w:id="73" w:name="_Toc16686_WPSOffice_Level1"/>
      <w:bookmarkStart w:id="74" w:name="_Toc4402_WPSOffice_Level1"/>
      <w:bookmarkStart w:id="75" w:name="_Toc31264_WPSOffice_Level1"/>
      <w:bookmarkStart w:id="76" w:name="_Toc29683_WPSOffice_Level1"/>
      <w:bookmarkStart w:id="77" w:name="_Toc27590_WPSOffice_Level1"/>
      <w:bookmarkStart w:id="78" w:name="_Toc28629_WPSOffice_Level1"/>
      <w:r>
        <w:rPr>
          <w:rFonts w:hint="eastAsia" w:ascii="黑体" w:hAnsi="ˎ̥" w:eastAsia="黑体"/>
          <w:color w:val="auto"/>
          <w:sz w:val="32"/>
          <w:szCs w:val="32"/>
        </w:rPr>
        <w:t xml:space="preserve">第三部分  </w:t>
      </w:r>
      <w:r>
        <w:rPr>
          <w:rFonts w:hint="default" w:ascii="黑体" w:hAnsi="ˎ̥" w:eastAsia="黑体"/>
          <w:color w:val="auto"/>
          <w:sz w:val="32"/>
          <w:szCs w:val="32"/>
          <w:lang w:val="en-US"/>
        </w:rPr>
        <w:t>2024</w:t>
      </w:r>
      <w:r>
        <w:rPr>
          <w:rFonts w:hint="eastAsia" w:ascii="黑体" w:hAnsi="ˎ̥" w:eastAsia="黑体"/>
          <w:color w:val="auto"/>
          <w:sz w:val="32"/>
          <w:szCs w:val="32"/>
        </w:rPr>
        <w:t>年度部门决算情况说明</w:t>
      </w:r>
      <w:bookmarkEnd w:id="73"/>
      <w:bookmarkEnd w:id="74"/>
      <w:bookmarkEnd w:id="75"/>
      <w:bookmarkEnd w:id="76"/>
      <w:bookmarkEnd w:id="77"/>
      <w:bookmarkEnd w:id="78"/>
    </w:p>
    <w:p>
      <w:pPr>
        <w:spacing w:line="578" w:lineRule="exact"/>
        <w:jc w:val="center"/>
        <w:rPr>
          <w:rFonts w:hint="eastAsia" w:ascii="黑体" w:hAnsi="ˎ̥" w:eastAsia="黑体"/>
          <w:color w:val="auto"/>
          <w:sz w:val="32"/>
          <w:szCs w:val="32"/>
        </w:rPr>
      </w:pPr>
    </w:p>
    <w:p>
      <w:pPr>
        <w:numPr>
          <w:ilvl w:val="0"/>
          <w:numId w:val="3"/>
        </w:numPr>
        <w:spacing w:line="578" w:lineRule="exact"/>
        <w:ind w:left="-10" w:leftChars="0" w:firstLine="640" w:firstLineChars="0"/>
        <w:rPr>
          <w:rFonts w:ascii="仿宋_GB2312" w:hAnsi="ˎ̥" w:eastAsia="仿宋_GB2312"/>
          <w:color w:val="auto"/>
          <w:sz w:val="32"/>
          <w:szCs w:val="32"/>
        </w:rPr>
      </w:pPr>
      <w:r>
        <w:rPr>
          <w:rFonts w:hint="eastAsia" w:ascii="黑体" w:hAnsi="黑体" w:eastAsia="黑体" w:cs="黑体"/>
          <w:bCs/>
          <w:color w:val="auto"/>
          <w:sz w:val="32"/>
          <w:szCs w:val="32"/>
        </w:rPr>
        <w:t>收入支出总体情况说明</w:t>
      </w:r>
      <w:r>
        <w:rPr>
          <w:rFonts w:hint="eastAsia" w:ascii="黑体" w:hAnsi="黑体" w:eastAsia="黑体" w:cs="黑体"/>
          <w:bCs/>
          <w:color w:val="auto"/>
          <w:sz w:val="32"/>
          <w:szCs w:val="32"/>
        </w:rPr>
        <w:br w:type="textWrapping"/>
      </w:r>
      <w:r>
        <w:rPr>
          <w:rFonts w:hint="eastAsia" w:ascii="楷体_GB2312" w:hAnsi="ˎ̥" w:eastAsia="楷体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年度收入总计</w:t>
      </w:r>
      <w:r>
        <w:rPr>
          <w:rFonts w:hint="default" w:ascii="仿宋_GB2312" w:hAnsi="ˎ̥" w:eastAsia="仿宋_GB2312"/>
          <w:color w:val="auto"/>
          <w:sz w:val="32"/>
          <w:szCs w:val="32"/>
          <w:lang w:val="en-US"/>
        </w:rPr>
        <w:t>137.14</w:t>
      </w:r>
      <w:r>
        <w:rPr>
          <w:rFonts w:hint="eastAsia" w:ascii="仿宋_GB2312" w:hAnsi="ˎ̥" w:eastAsia="仿宋_GB2312"/>
          <w:color w:val="auto"/>
          <w:sz w:val="32"/>
          <w:szCs w:val="32"/>
        </w:rPr>
        <w:t>万元，支出总计</w:t>
      </w:r>
      <w:r>
        <w:rPr>
          <w:rFonts w:hint="default" w:ascii="仿宋_GB2312" w:hAnsi="ˎ̥" w:eastAsia="仿宋_GB2312"/>
          <w:color w:val="auto"/>
          <w:sz w:val="32"/>
          <w:szCs w:val="32"/>
          <w:lang w:val="en-US"/>
        </w:rPr>
        <w:t>137.14</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年度相比，收入、支出总计各减少</w:t>
      </w:r>
      <w:r>
        <w:rPr>
          <w:rFonts w:hint="eastAsia" w:ascii="仿宋_GB2312" w:hAnsi="ˎ̥" w:eastAsia="仿宋_GB2312"/>
          <w:color w:val="auto"/>
          <w:sz w:val="32"/>
          <w:szCs w:val="32"/>
          <w:lang w:val="en-US" w:eastAsia="zh-CN"/>
        </w:rPr>
        <w:t>2.08</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1.49</w:t>
      </w:r>
      <w:r>
        <w:rPr>
          <w:rFonts w:hint="eastAsia" w:ascii="仿宋_GB2312" w:hAnsi="ˎ̥" w:eastAsia="仿宋_GB2312"/>
          <w:color w:val="auto"/>
          <w:sz w:val="32"/>
          <w:szCs w:val="32"/>
        </w:rPr>
        <w:t>%。主要原因：</w:t>
      </w:r>
      <w:r>
        <w:rPr>
          <w:rFonts w:hint="eastAsia" w:ascii="仿宋_GB2312" w:eastAsia="仿宋_GB2312"/>
          <w:color w:val="auto"/>
          <w:sz w:val="32"/>
          <w:szCs w:val="32"/>
          <w:lang w:eastAsia="zh-CN"/>
        </w:rPr>
        <w:t>一是文化旅游体育与传媒支出（类）文化和旅游交流与合作（项）中文化艺术活动项目经费支出。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color w:val="auto"/>
          <w:sz w:val="32"/>
          <w:szCs w:val="32"/>
        </w:rPr>
      </w:pPr>
      <w:r>
        <w:rPr>
          <w:rFonts w:hint="eastAsia" w:ascii="楷体" w:hAnsi="楷体" w:eastAsia="楷体" w:cs="楷体"/>
          <w:color w:val="auto"/>
          <w:sz w:val="32"/>
          <w:szCs w:val="32"/>
        </w:rPr>
        <w:t>（一</w:t>
      </w:r>
      <w:r>
        <w:rPr>
          <w:rFonts w:ascii="楷体" w:hAnsi="楷体" w:eastAsia="楷体" w:cs="楷体"/>
          <w:color w:val="auto"/>
          <w:sz w:val="32"/>
          <w:szCs w:val="32"/>
        </w:rPr>
        <w:t>）</w:t>
      </w:r>
      <w:r>
        <w:rPr>
          <w:rFonts w:hint="eastAsia" w:ascii="楷体" w:hAnsi="楷体" w:eastAsia="楷体" w:cs="楷体"/>
          <w:color w:val="auto"/>
          <w:sz w:val="32"/>
          <w:szCs w:val="32"/>
        </w:rPr>
        <w:t>收入</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本年</w:t>
      </w:r>
      <w:r>
        <w:rPr>
          <w:rFonts w:ascii="仿宋_GB2312" w:hAnsi="ˎ̥" w:eastAsia="仿宋_GB2312"/>
          <w:color w:val="auto"/>
          <w:sz w:val="32"/>
          <w:szCs w:val="32"/>
        </w:rPr>
        <w:t>收入</w:t>
      </w:r>
      <w:r>
        <w:rPr>
          <w:rFonts w:hint="default" w:ascii="仿宋_GB2312" w:hAnsi="ˎ̥" w:eastAsia="仿宋_GB2312"/>
          <w:color w:val="auto"/>
          <w:sz w:val="32"/>
          <w:szCs w:val="32"/>
          <w:lang w:val="en-US"/>
        </w:rPr>
        <w:t>137.14</w:t>
      </w:r>
      <w:r>
        <w:rPr>
          <w:rFonts w:hint="eastAsia" w:ascii="仿宋_GB2312" w:hAnsi="ˎ̥" w:eastAsia="仿宋_GB2312"/>
          <w:color w:val="auto"/>
          <w:sz w:val="32"/>
          <w:szCs w:val="32"/>
        </w:rPr>
        <w:t>万元。</w:t>
      </w:r>
    </w:p>
    <w:p>
      <w:pPr>
        <w:spacing w:line="578" w:lineRule="exact"/>
        <w:ind w:firstLine="640" w:firstLineChars="200"/>
        <w:rPr>
          <w:rFonts w:ascii="仿宋_GB2312" w:hAnsi="ˎ̥" w:eastAsia="仿宋_GB2312"/>
          <w:color w:val="auto"/>
          <w:sz w:val="32"/>
          <w:szCs w:val="32"/>
        </w:rPr>
      </w:pPr>
      <w:r>
        <w:rPr>
          <w:rFonts w:hint="eastAsia" w:ascii="仿宋_GB2312" w:hAnsi="ˎ̥" w:eastAsia="仿宋_GB2312"/>
          <w:color w:val="auto"/>
          <w:sz w:val="32"/>
          <w:szCs w:val="32"/>
        </w:rPr>
        <w:t>使用非财政拨款结余</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万元，较202</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eastAsia="仿宋_GB2312"/>
          <w:color w:val="auto"/>
          <w:sz w:val="32"/>
          <w:szCs w:val="32"/>
        </w:rPr>
        <w:t>主要原因是</w:t>
      </w:r>
      <w:r>
        <w:rPr>
          <w:rFonts w:hint="eastAsia" w:ascii="仿宋_GB2312" w:hAnsi="ˎ̥" w:eastAsia="仿宋_GB2312"/>
          <w:color w:val="auto"/>
          <w:sz w:val="32"/>
          <w:szCs w:val="32"/>
        </w:rPr>
        <w:t>无此项资金。</w:t>
      </w:r>
    </w:p>
    <w:p>
      <w:pPr>
        <w:spacing w:line="578" w:lineRule="exact"/>
        <w:ind w:firstLine="640" w:firstLineChars="200"/>
        <w:rPr>
          <w:rFonts w:ascii="仿宋_GB2312" w:hAnsi="ˎ̥" w:eastAsia="仿宋_GB2312"/>
          <w:color w:val="auto"/>
          <w:sz w:val="32"/>
          <w:szCs w:val="32"/>
        </w:rPr>
      </w:pPr>
      <w:r>
        <w:rPr>
          <w:rFonts w:hint="eastAsia" w:ascii="仿宋_GB2312" w:hAnsi="ˎ̥" w:eastAsia="仿宋_GB2312"/>
          <w:color w:val="auto"/>
          <w:sz w:val="32"/>
          <w:szCs w:val="32"/>
        </w:rPr>
        <w:t>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万元，主要是无此项资金，较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年度决算数减少</w:t>
      </w:r>
      <w:r>
        <w:rPr>
          <w:rFonts w:hint="eastAsia" w:ascii="仿宋_GB2312" w:hAnsi="ˎ̥" w:eastAsia="仿宋_GB2312"/>
          <w:color w:val="auto"/>
          <w:sz w:val="32"/>
          <w:szCs w:val="32"/>
          <w:lang w:val="en-US" w:eastAsia="zh-CN"/>
        </w:rPr>
        <w:t>0.25</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r>
        <w:rPr>
          <w:rFonts w:hint="eastAsia" w:ascii="仿宋_GB2312" w:eastAsia="仿宋_GB2312"/>
          <w:color w:val="auto"/>
          <w:sz w:val="32"/>
          <w:szCs w:val="32"/>
        </w:rPr>
        <w:t>主要原因是</w:t>
      </w:r>
      <w:r>
        <w:rPr>
          <w:rFonts w:hint="eastAsia" w:ascii="仿宋_GB2312" w:eastAsia="仿宋_GB2312"/>
          <w:color w:val="auto"/>
          <w:sz w:val="32"/>
          <w:szCs w:val="32"/>
          <w:lang w:eastAsia="zh-CN"/>
        </w:rPr>
        <w:t>今年</w:t>
      </w:r>
      <w:r>
        <w:rPr>
          <w:rFonts w:hint="eastAsia" w:ascii="仿宋_GB2312" w:hAnsi="ˎ̥" w:eastAsia="仿宋_GB2312"/>
          <w:color w:val="auto"/>
          <w:sz w:val="32"/>
          <w:szCs w:val="32"/>
        </w:rPr>
        <w:t>无此项资金。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lang w:eastAsia="zh-CN"/>
        </w:rPr>
      </w:pPr>
      <w:r>
        <w:rPr>
          <w:rFonts w:hint="eastAsia" w:ascii="楷体" w:hAnsi="楷体" w:eastAsia="楷体" w:cs="楷体"/>
          <w:color w:val="auto"/>
          <w:sz w:val="32"/>
          <w:szCs w:val="32"/>
        </w:rPr>
        <w:t>（二</w:t>
      </w:r>
      <w:r>
        <w:rPr>
          <w:rFonts w:ascii="楷体" w:hAnsi="楷体" w:eastAsia="楷体" w:cs="楷体"/>
          <w:color w:val="auto"/>
          <w:sz w:val="32"/>
          <w:szCs w:val="32"/>
        </w:rPr>
        <w:t>）</w:t>
      </w:r>
      <w:r>
        <w:rPr>
          <w:rFonts w:hint="eastAsia" w:ascii="楷体" w:hAnsi="楷体" w:eastAsia="楷体" w:cs="楷体"/>
          <w:color w:val="auto"/>
          <w:sz w:val="32"/>
          <w:szCs w:val="32"/>
        </w:rPr>
        <w:t>支出</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137.14</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结余分配</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r>
        <w:rPr>
          <w:rFonts w:hint="eastAsia" w:ascii="仿宋_GB2312" w:eastAsia="仿宋_GB2312"/>
          <w:color w:val="auto"/>
          <w:sz w:val="32"/>
          <w:szCs w:val="32"/>
        </w:rPr>
        <w:t>主要原因是</w:t>
      </w:r>
      <w:r>
        <w:rPr>
          <w:rFonts w:hint="eastAsia" w:ascii="仿宋_GB2312" w:hAnsi="ˎ̥" w:eastAsia="仿宋_GB2312"/>
          <w:color w:val="auto"/>
          <w:sz w:val="32"/>
          <w:szCs w:val="32"/>
        </w:rPr>
        <w:t>无此项资金，较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%，主要原因是无此项资金。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万元，主要是</w:t>
      </w:r>
      <w:r>
        <w:rPr>
          <w:rFonts w:hint="eastAsia" w:ascii="仿宋_GB2312" w:eastAsia="仿宋_GB2312"/>
          <w:color w:val="auto"/>
          <w:sz w:val="32"/>
          <w:szCs w:val="32"/>
          <w:lang w:eastAsia="zh-CN"/>
        </w:rPr>
        <w:t>今年</w:t>
      </w:r>
      <w:r>
        <w:rPr>
          <w:rFonts w:hint="eastAsia" w:ascii="仿宋_GB2312" w:hAnsi="ˎ̥" w:eastAsia="仿宋_GB2312"/>
          <w:color w:val="auto"/>
          <w:sz w:val="32"/>
          <w:szCs w:val="32"/>
        </w:rPr>
        <w:t>无此项资金，较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年度决算数减少</w:t>
      </w:r>
      <w:r>
        <w:rPr>
          <w:rFonts w:hint="eastAsia" w:ascii="仿宋_GB2312" w:hAnsi="ˎ̥" w:eastAsia="仿宋_GB2312"/>
          <w:color w:val="auto"/>
          <w:sz w:val="32"/>
          <w:szCs w:val="32"/>
          <w:lang w:val="en-US" w:eastAsia="zh-CN"/>
        </w:rPr>
        <w:t>0.25</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r>
        <w:rPr>
          <w:rFonts w:hint="eastAsia" w:ascii="仿宋_GB2312" w:eastAsia="仿宋_GB2312"/>
          <w:color w:val="auto"/>
          <w:sz w:val="32"/>
          <w:szCs w:val="32"/>
        </w:rPr>
        <w:t>主要原因是</w:t>
      </w:r>
      <w:r>
        <w:rPr>
          <w:rFonts w:hint="eastAsia" w:ascii="仿宋_GB2312" w:eastAsia="仿宋_GB2312"/>
          <w:color w:val="auto"/>
          <w:sz w:val="32"/>
          <w:szCs w:val="32"/>
          <w:lang w:eastAsia="zh-CN"/>
        </w:rPr>
        <w:t>今年</w:t>
      </w:r>
      <w:r>
        <w:rPr>
          <w:rFonts w:hint="eastAsia" w:ascii="仿宋_GB2312" w:hAnsi="ˎ̥" w:eastAsia="仿宋_GB2312"/>
          <w:color w:val="auto"/>
          <w:sz w:val="32"/>
          <w:szCs w:val="32"/>
        </w:rPr>
        <w:t>无此项资金。</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left="-10" w:leftChars="0" w:firstLine="640" w:firstLineChars="0"/>
        <w:textAlignment w:val="auto"/>
        <w:rPr>
          <w:rFonts w:hint="eastAsia" w:ascii="仿宋_GB2312" w:hAnsi="ˎ̥" w:eastAsia="仿宋_GB2312"/>
          <w:color w:val="auto"/>
          <w:sz w:val="32"/>
          <w:szCs w:val="32"/>
        </w:rPr>
      </w:pPr>
      <w:r>
        <w:rPr>
          <w:rFonts w:hint="eastAsia" w:ascii="黑体" w:hAnsi="黑体" w:eastAsia="黑体" w:cs="黑体"/>
          <w:bCs/>
          <w:color w:val="auto"/>
          <w:sz w:val="32"/>
          <w:szCs w:val="32"/>
        </w:rPr>
        <w:t>收入决算情况说明</w:t>
      </w:r>
      <w:r>
        <w:rPr>
          <w:rFonts w:hint="eastAsia" w:ascii="黑体" w:hAnsi="黑体" w:eastAsia="黑体" w:cs="黑体"/>
          <w:bCs/>
          <w:color w:val="auto"/>
          <w:sz w:val="32"/>
          <w:szCs w:val="32"/>
        </w:rPr>
        <w:br w:type="textWrapping"/>
      </w:r>
      <w:r>
        <w:rPr>
          <w:rFonts w:hint="eastAsia" w:ascii="仿宋_GB2312" w:hAnsi="ˎ̥" w:eastAsia="仿宋_GB2312"/>
          <w:color w:val="auto"/>
          <w:sz w:val="32"/>
          <w:szCs w:val="32"/>
        </w:rPr>
        <w:t xml:space="preserve">    本年收入</w:t>
      </w:r>
      <w:r>
        <w:rPr>
          <w:rFonts w:hint="default" w:ascii="仿宋_GB2312" w:hAnsi="ˎ̥" w:eastAsia="仿宋_GB2312"/>
          <w:color w:val="auto"/>
          <w:sz w:val="32"/>
          <w:szCs w:val="32"/>
          <w:lang w:val="en-US"/>
        </w:rPr>
        <w:t>137.14</w:t>
      </w:r>
      <w:r>
        <w:rPr>
          <w:rFonts w:hint="eastAsia" w:ascii="仿宋_GB2312" w:hAnsi="ˎ̥" w:eastAsia="仿宋_GB2312"/>
          <w:color w:val="auto"/>
          <w:sz w:val="32"/>
          <w:szCs w:val="32"/>
        </w:rPr>
        <w:t>万元，其中：财政拨款收入</w:t>
      </w:r>
      <w:r>
        <w:rPr>
          <w:rFonts w:hint="default" w:ascii="仿宋_GB2312" w:hAnsi="ˎ̥" w:eastAsia="仿宋_GB2312"/>
          <w:color w:val="auto"/>
          <w:sz w:val="32"/>
          <w:szCs w:val="32"/>
          <w:lang w:val="en-US"/>
        </w:rPr>
        <w:t>137.14</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%；上级补助收入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%；事业收入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%；附属单位上缴收入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%；其他收入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pStyle w:val="2"/>
        <w:numPr>
          <w:ilvl w:val="0"/>
          <w:numId w:val="0"/>
        </w:numPr>
        <w:ind w:left="630" w:leftChars="0"/>
        <w:rPr>
          <w:rFonts w:hint="eastAsia"/>
        </w:rPr>
      </w:pP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137.14</w:t>
      </w:r>
      <w:r>
        <w:rPr>
          <w:rFonts w:hint="eastAsia" w:ascii="仿宋_GB2312" w:hAnsi="ˎ̥" w:eastAsia="仿宋_GB2312"/>
          <w:color w:val="auto"/>
          <w:sz w:val="32"/>
          <w:szCs w:val="32"/>
        </w:rPr>
        <w:t>万元，其中：基本支出</w:t>
      </w:r>
      <w:r>
        <w:rPr>
          <w:rFonts w:hint="default" w:ascii="仿宋_GB2312" w:hAnsi="ˎ̥" w:eastAsia="仿宋_GB2312"/>
          <w:color w:val="auto"/>
          <w:sz w:val="32"/>
          <w:szCs w:val="32"/>
          <w:lang w:val="en-US"/>
        </w:rPr>
        <w:t>96.73</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70.53</w:t>
      </w:r>
      <w:r>
        <w:rPr>
          <w:rFonts w:hint="eastAsia" w:ascii="仿宋_GB2312" w:hAnsi="ˎ̥" w:eastAsia="仿宋_GB2312"/>
          <w:color w:val="auto"/>
          <w:sz w:val="32"/>
          <w:szCs w:val="32"/>
        </w:rPr>
        <w:t>%；项目支出</w:t>
      </w:r>
      <w:r>
        <w:rPr>
          <w:rFonts w:hint="default" w:ascii="仿宋_GB2312" w:hAnsi="ˎ̥" w:eastAsia="仿宋_GB2312"/>
          <w:color w:val="auto"/>
          <w:sz w:val="32"/>
          <w:szCs w:val="32"/>
          <w:lang w:val="en-US"/>
        </w:rPr>
        <w:t>40.41</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29.47</w:t>
      </w:r>
      <w:r>
        <w:rPr>
          <w:rFonts w:hint="eastAsia" w:ascii="仿宋_GB2312" w:hAnsi="ˎ̥" w:eastAsia="仿宋_GB2312"/>
          <w:color w:val="auto"/>
          <w:sz w:val="32"/>
          <w:szCs w:val="32"/>
        </w:rPr>
        <w:t>%；上缴上级支出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%；对附属单位补助支出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年度财政拨款收入</w:t>
      </w:r>
      <w:r>
        <w:rPr>
          <w:rFonts w:hint="default" w:ascii="仿宋_GB2312" w:hAnsi="ˎ̥" w:eastAsia="仿宋_GB2312"/>
          <w:color w:val="auto"/>
          <w:sz w:val="32"/>
          <w:szCs w:val="32"/>
          <w:lang w:val="en-US"/>
        </w:rPr>
        <w:t>137.14</w:t>
      </w:r>
      <w:r>
        <w:rPr>
          <w:rFonts w:hint="eastAsia" w:ascii="仿宋_GB2312" w:hAnsi="ˎ̥" w:eastAsia="仿宋_GB2312"/>
          <w:color w:val="auto"/>
          <w:sz w:val="32"/>
          <w:szCs w:val="32"/>
        </w:rPr>
        <w:t>万元，支出</w:t>
      </w:r>
      <w:r>
        <w:rPr>
          <w:rFonts w:hint="default" w:ascii="仿宋_GB2312" w:hAnsi="ˎ̥" w:eastAsia="仿宋_GB2312"/>
          <w:color w:val="auto"/>
          <w:sz w:val="32"/>
          <w:szCs w:val="32"/>
          <w:lang w:val="en-US"/>
        </w:rPr>
        <w:t>137.14</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年度相比，财政拨款收入减少</w:t>
      </w:r>
      <w:r>
        <w:rPr>
          <w:rFonts w:hint="eastAsia" w:ascii="仿宋_GB2312" w:hAnsi="ˎ̥" w:eastAsia="仿宋_GB2312"/>
          <w:color w:val="auto"/>
          <w:sz w:val="32"/>
          <w:szCs w:val="32"/>
          <w:lang w:val="en-US" w:eastAsia="zh-CN"/>
        </w:rPr>
        <w:t>1.83</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1.32</w:t>
      </w:r>
      <w:r>
        <w:rPr>
          <w:rFonts w:hint="eastAsia" w:ascii="仿宋_GB2312" w:hAnsi="ˎ̥" w:eastAsia="仿宋_GB2312"/>
          <w:color w:val="auto"/>
          <w:sz w:val="32"/>
          <w:szCs w:val="32"/>
        </w:rPr>
        <w:t>%，主要原因：</w:t>
      </w:r>
      <w:r>
        <w:rPr>
          <w:rFonts w:hint="eastAsia" w:ascii="仿宋_GB2312" w:hAnsi="ˎ̥" w:eastAsia="仿宋_GB2312"/>
          <w:color w:val="auto"/>
          <w:sz w:val="32"/>
          <w:szCs w:val="32"/>
          <w:lang w:eastAsia="zh-CN"/>
        </w:rPr>
        <w:t>减少文化旅游体育与传媒支出（类）文化和旅游交流与合作（项）中文化艺术活动项目经费等。</w:t>
      </w:r>
      <w:r>
        <w:rPr>
          <w:rFonts w:hint="eastAsia" w:ascii="仿宋_GB2312" w:hAnsi="ˎ̥" w:eastAsia="仿宋_GB2312"/>
          <w:color w:val="auto"/>
          <w:sz w:val="32"/>
          <w:szCs w:val="32"/>
        </w:rPr>
        <w:t>支出减少</w:t>
      </w:r>
      <w:r>
        <w:rPr>
          <w:rFonts w:hint="eastAsia" w:ascii="仿宋_GB2312" w:hAnsi="ˎ̥" w:eastAsia="仿宋_GB2312"/>
          <w:color w:val="auto"/>
          <w:sz w:val="32"/>
          <w:szCs w:val="32"/>
          <w:lang w:val="en-US" w:eastAsia="zh-CN"/>
        </w:rPr>
        <w:t>1.83</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1.32</w:t>
      </w:r>
      <w:r>
        <w:rPr>
          <w:rFonts w:hint="eastAsia" w:ascii="仿宋_GB2312" w:hAnsi="ˎ̥" w:eastAsia="仿宋_GB2312"/>
          <w:color w:val="auto"/>
          <w:sz w:val="32"/>
          <w:szCs w:val="32"/>
        </w:rPr>
        <w:t>%，主要原因：</w:t>
      </w:r>
      <w:r>
        <w:rPr>
          <w:rFonts w:hint="eastAsia" w:ascii="仿宋_GB2312" w:hAnsi="ˎ̥" w:eastAsia="仿宋_GB2312"/>
          <w:color w:val="auto"/>
          <w:sz w:val="32"/>
          <w:szCs w:val="32"/>
          <w:lang w:eastAsia="zh-CN"/>
        </w:rPr>
        <w:t>减少文化旅游体育与传媒支出（类）文化和旅游交流与合作（项）中文化艺术活动项目经费等</w:t>
      </w:r>
      <w:r>
        <w:rPr>
          <w:rFonts w:hint="eastAsia" w:ascii="仿宋_GB2312" w:hAnsi="ˎ̥" w:eastAsia="仿宋_GB2312"/>
          <w:color w:val="auto"/>
          <w:sz w:val="32"/>
          <w:szCs w:val="32"/>
        </w:rPr>
        <w:t>。</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财政拨款年末结转结余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r>
        <w:rPr>
          <w:rFonts w:hint="eastAsia" w:ascii="仿宋_GB2312" w:eastAsia="仿宋_GB2312"/>
          <w:color w:val="auto"/>
          <w:sz w:val="32"/>
          <w:szCs w:val="32"/>
        </w:rPr>
        <w:t>主要原因是</w:t>
      </w:r>
      <w:r>
        <w:rPr>
          <w:rFonts w:hint="eastAsia" w:ascii="仿宋_GB2312" w:hAnsi="ˎ̥" w:eastAsia="仿宋_GB2312"/>
          <w:color w:val="auto"/>
          <w:sz w:val="32"/>
          <w:szCs w:val="32"/>
        </w:rPr>
        <w:t>无此项资金，较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%，主要原因是无此项资金。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万元，主要是无此项资金，较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%，主要原因是无此项资金。</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79" w:name="_Toc17398_WPSOffice_Level2"/>
      <w:bookmarkStart w:id="80" w:name="_Toc13694_WPSOffice_Level2"/>
      <w:bookmarkStart w:id="81" w:name="_Toc9989_WPSOffice_Level2"/>
      <w:bookmarkStart w:id="82" w:name="_Toc23005_WPSOffice_Level2"/>
      <w:bookmarkStart w:id="83" w:name="_Toc21737_WPSOffice_Level2"/>
      <w:bookmarkStart w:id="84" w:name="_Toc19665_WPSOffice_Level2"/>
      <w:r>
        <w:rPr>
          <w:rFonts w:hint="eastAsia" w:ascii="楷体" w:hAnsi="楷体" w:eastAsia="楷体" w:cs="楷体"/>
          <w:color w:val="auto"/>
          <w:sz w:val="32"/>
          <w:szCs w:val="32"/>
        </w:rPr>
        <w:t>（一）一般公共预算财政拨款支出决算总体情况</w:t>
      </w:r>
      <w:bookmarkEnd w:id="79"/>
      <w:bookmarkEnd w:id="80"/>
      <w:bookmarkEnd w:id="81"/>
      <w:bookmarkEnd w:id="82"/>
      <w:bookmarkEnd w:id="83"/>
      <w:bookmarkEnd w:id="8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137.14</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年度相比，一般公共预算财政拨款支出减少</w:t>
      </w:r>
      <w:r>
        <w:rPr>
          <w:rFonts w:hint="eastAsia" w:ascii="仿宋_GB2312" w:hAnsi="ˎ̥" w:eastAsia="仿宋_GB2312"/>
          <w:color w:val="auto"/>
          <w:sz w:val="32"/>
          <w:szCs w:val="32"/>
          <w:lang w:val="en-US" w:eastAsia="zh-CN"/>
        </w:rPr>
        <w:t>1.83</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1.32</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减少文化旅游体育与传媒支出（类）文化和旅游交流与合作（项）中文化艺术活动项目经费等</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85" w:name="_Toc23864_WPSOffice_Level2"/>
      <w:bookmarkStart w:id="86" w:name="_Toc19535_WPSOffice_Level2"/>
      <w:bookmarkStart w:id="87" w:name="_Toc18793_WPSOffice_Level2"/>
      <w:bookmarkStart w:id="88" w:name="_Toc2711_WPSOffice_Level2"/>
      <w:bookmarkStart w:id="89" w:name="_Toc27767_WPSOffice_Level2"/>
      <w:bookmarkStart w:id="90" w:name="_Toc19075_WPSOffice_Level2"/>
      <w:r>
        <w:rPr>
          <w:rFonts w:hint="eastAsia" w:ascii="楷体" w:hAnsi="楷体" w:eastAsia="楷体" w:cs="楷体"/>
          <w:color w:val="auto"/>
          <w:sz w:val="32"/>
          <w:szCs w:val="32"/>
        </w:rPr>
        <w:t>（二）一般公共预算财政拨款支出决算结构情况</w:t>
      </w:r>
      <w:bookmarkEnd w:id="85"/>
      <w:bookmarkEnd w:id="86"/>
      <w:bookmarkEnd w:id="87"/>
      <w:bookmarkEnd w:id="88"/>
      <w:bookmarkEnd w:id="89"/>
      <w:bookmarkEnd w:id="9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137.14</w:t>
      </w:r>
      <w:r>
        <w:rPr>
          <w:rFonts w:hint="eastAsia" w:ascii="仿宋_GB2312" w:hAnsi="ˎ̥" w:eastAsia="仿宋_GB2312"/>
          <w:color w:val="auto"/>
          <w:sz w:val="32"/>
          <w:szCs w:val="32"/>
        </w:rPr>
        <w:t>万元，主要用于以下方面：</w:t>
      </w:r>
      <w:r>
        <w:rPr>
          <w:rFonts w:hint="eastAsia" w:ascii="仿宋_GB2312" w:hAnsi="ˎ̥" w:eastAsia="仿宋_GB2312"/>
          <w:b/>
          <w:color w:val="auto"/>
          <w:sz w:val="32"/>
          <w:szCs w:val="32"/>
        </w:rPr>
        <w:t>一般公共服务（类）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20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14.58</w:t>
      </w:r>
      <w:r>
        <w:rPr>
          <w:rFonts w:hint="eastAsia" w:ascii="仿宋_GB2312" w:hAnsi="ˎ̥" w:eastAsia="仿宋_GB2312"/>
          <w:color w:val="auto"/>
          <w:sz w:val="32"/>
          <w:szCs w:val="32"/>
        </w:rPr>
        <w:t>%；</w:t>
      </w:r>
      <w:r>
        <w:rPr>
          <w:rFonts w:hint="eastAsia" w:ascii="仿宋_GB2312" w:hAnsi="ˎ̥" w:eastAsia="仿宋_GB2312" w:cs="Times New Roman"/>
          <w:b/>
          <w:color w:val="auto"/>
          <w:sz w:val="32"/>
          <w:szCs w:val="32"/>
        </w:rPr>
        <w:t>文化旅游体育与传媒支出（</w:t>
      </w:r>
      <w:r>
        <w:rPr>
          <w:rFonts w:hint="eastAsia" w:ascii="仿宋_GB2312" w:hAnsi="ˎ̥" w:eastAsia="仿宋_GB2312"/>
          <w:b/>
          <w:color w:val="auto"/>
          <w:sz w:val="32"/>
          <w:szCs w:val="32"/>
        </w:rPr>
        <w:t>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84.74</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61.79</w:t>
      </w:r>
      <w:r>
        <w:rPr>
          <w:rFonts w:hint="eastAsia" w:ascii="仿宋_GB2312" w:hAnsi="ˎ̥" w:eastAsia="仿宋_GB2312"/>
          <w:color w:val="auto"/>
          <w:sz w:val="32"/>
          <w:szCs w:val="32"/>
        </w:rPr>
        <w:t>%；</w:t>
      </w:r>
      <w:r>
        <w:rPr>
          <w:rFonts w:hint="eastAsia" w:ascii="仿宋_GB2312" w:hAnsi="ˎ̥" w:eastAsia="仿宋_GB2312"/>
          <w:b/>
          <w:color w:val="auto"/>
          <w:sz w:val="32"/>
          <w:szCs w:val="32"/>
        </w:rPr>
        <w:t>社会保障和就业（类）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11.26</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8.21</w:t>
      </w:r>
      <w:r>
        <w:rPr>
          <w:rFonts w:hint="eastAsia" w:ascii="仿宋_GB2312" w:hAnsi="ˎ̥" w:eastAsia="仿宋_GB2312"/>
          <w:color w:val="auto"/>
          <w:sz w:val="32"/>
          <w:szCs w:val="32"/>
        </w:rPr>
        <w:t>%；</w:t>
      </w:r>
      <w:r>
        <w:rPr>
          <w:rFonts w:hint="eastAsia" w:ascii="仿宋_GB2312" w:hAnsi="ˎ̥" w:eastAsia="仿宋_GB2312"/>
          <w:b/>
          <w:bCs/>
          <w:color w:val="auto"/>
          <w:sz w:val="32"/>
          <w:szCs w:val="32"/>
        </w:rPr>
        <w:t>卫生健康支出（类）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11.66</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8.5</w:t>
      </w:r>
      <w:r>
        <w:rPr>
          <w:rFonts w:hint="eastAsia" w:ascii="仿宋_GB2312" w:hAnsi="ˎ̥" w:eastAsia="仿宋_GB2312"/>
          <w:color w:val="auto"/>
          <w:sz w:val="32"/>
          <w:szCs w:val="32"/>
        </w:rPr>
        <w:t>%；</w:t>
      </w:r>
      <w:r>
        <w:rPr>
          <w:rFonts w:hint="eastAsia" w:ascii="仿宋_GB2312" w:hAnsi="ˎ̥" w:eastAsia="仿宋_GB2312"/>
          <w:b/>
          <w:bCs/>
          <w:color w:val="auto"/>
          <w:sz w:val="32"/>
          <w:szCs w:val="32"/>
        </w:rPr>
        <w:t>农林水支出（类）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2.71</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1.98</w:t>
      </w:r>
      <w:r>
        <w:rPr>
          <w:rFonts w:hint="eastAsia" w:ascii="仿宋_GB2312" w:hAnsi="ˎ̥" w:eastAsia="仿宋_GB2312"/>
          <w:color w:val="auto"/>
          <w:sz w:val="32"/>
          <w:szCs w:val="32"/>
        </w:rPr>
        <w:t>%；</w:t>
      </w:r>
      <w:r>
        <w:rPr>
          <w:rFonts w:hint="eastAsia" w:ascii="仿宋_GB2312" w:hAnsi="ˎ̥" w:eastAsia="仿宋_GB2312"/>
          <w:b/>
          <w:bCs/>
          <w:color w:val="auto"/>
          <w:sz w:val="32"/>
          <w:szCs w:val="32"/>
        </w:rPr>
        <w:t>住房保障支出（类）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6.78</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4.94</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91" w:name="_Toc9502_WPSOffice_Level2"/>
      <w:bookmarkStart w:id="92" w:name="_Toc15415_WPSOffice_Level2"/>
      <w:bookmarkStart w:id="93" w:name="_Toc29364_WPSOffice_Level2"/>
      <w:bookmarkStart w:id="94" w:name="_Toc25136_WPSOffice_Level2"/>
      <w:bookmarkStart w:id="95" w:name="_Toc21701_WPSOffice_Level2"/>
      <w:bookmarkStart w:id="96" w:name="_Toc22318_WPSOffice_Level2"/>
      <w:r>
        <w:rPr>
          <w:rFonts w:hint="eastAsia" w:ascii="楷体" w:hAnsi="楷体" w:eastAsia="楷体" w:cs="楷体"/>
          <w:color w:val="auto"/>
          <w:sz w:val="32"/>
          <w:szCs w:val="32"/>
        </w:rPr>
        <w:t>（三）一般公共预算财政拨款支出决算具体情况</w:t>
      </w:r>
      <w:bookmarkEnd w:id="91"/>
      <w:bookmarkEnd w:id="92"/>
      <w:bookmarkEnd w:id="93"/>
      <w:bookmarkEnd w:id="94"/>
      <w:bookmarkEnd w:id="95"/>
      <w:bookmarkEnd w:id="9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年度一般公共预算财政拨款支出年初预算为</w:t>
      </w:r>
      <w:r>
        <w:rPr>
          <w:rFonts w:hint="eastAsia" w:ascii="仿宋_GB2312" w:hAnsi="ˎ̥" w:eastAsia="仿宋_GB2312"/>
          <w:color w:val="auto"/>
          <w:sz w:val="32"/>
          <w:szCs w:val="32"/>
          <w:lang w:val="en-US" w:eastAsia="zh-CN"/>
        </w:rPr>
        <w:t>137.14</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137.14</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rPr>
        <w:t>1.</w:t>
      </w:r>
      <w:r>
        <w:rPr>
          <w:rFonts w:hint="eastAsia" w:ascii="仿宋_GB2312" w:hAnsi="ˎ̥" w:eastAsia="仿宋_GB2312"/>
          <w:b/>
          <w:color w:val="auto"/>
          <w:sz w:val="32"/>
          <w:szCs w:val="32"/>
        </w:rPr>
        <w:t>一般公共服务</w:t>
      </w:r>
      <w:r>
        <w:rPr>
          <w:rFonts w:hint="eastAsia" w:ascii="仿宋_GB2312" w:hAnsi="ˎ̥" w:eastAsia="仿宋_GB2312"/>
          <w:b/>
          <w:color w:val="auto"/>
          <w:sz w:val="32"/>
          <w:szCs w:val="32"/>
          <w:lang w:eastAsia="zh-CN"/>
        </w:rPr>
        <w:t>支出</w:t>
      </w:r>
      <w:r>
        <w:rPr>
          <w:rFonts w:hint="eastAsia" w:ascii="仿宋_GB2312" w:hAnsi="ˎ̥" w:eastAsia="仿宋_GB2312"/>
          <w:b/>
          <w:color w:val="auto"/>
          <w:sz w:val="32"/>
          <w:szCs w:val="32"/>
        </w:rPr>
        <w:t>（类）民族事务（款）其他民族事务支出（项）。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eastAsia="zh-CN"/>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20</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20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%。决算数大于（小于）预算数的主要原因：</w:t>
      </w:r>
      <w:r>
        <w:rPr>
          <w:rFonts w:hint="eastAsia" w:ascii="仿宋_GB2312" w:eastAsia="仿宋_GB2312"/>
          <w:color w:val="auto"/>
          <w:sz w:val="32"/>
          <w:szCs w:val="32"/>
        </w:rPr>
        <w:t>已完成100%</w:t>
      </w:r>
      <w:r>
        <w:rPr>
          <w:rFonts w:hint="eastAsia" w:ascii="仿宋_GB2312" w:hAnsi="ˎ̥" w:eastAsia="仿宋_GB2312"/>
          <w:color w:val="auto"/>
          <w:sz w:val="32"/>
          <w:szCs w:val="32"/>
          <w:lang w:eastAsia="zh-CN"/>
        </w:rPr>
        <w:t>；</w:t>
      </w:r>
    </w:p>
    <w:p>
      <w:pPr>
        <w:ind w:firstLine="640" w:firstLineChars="200"/>
        <w:rPr>
          <w:rFonts w:ascii="仿宋_GB2312" w:hAnsi="ˎ̥" w:eastAsia="仿宋_GB2312"/>
          <w:b/>
          <w:color w:val="auto"/>
          <w:sz w:val="32"/>
          <w:szCs w:val="32"/>
        </w:rPr>
      </w:pPr>
      <w:r>
        <w:rPr>
          <w:rFonts w:hint="eastAsia" w:ascii="仿宋_GB2312" w:hAnsi="ˎ̥" w:eastAsia="仿宋_GB2312"/>
          <w:color w:val="auto"/>
          <w:sz w:val="32"/>
          <w:szCs w:val="32"/>
          <w:lang w:val="en-US" w:eastAsia="zh-CN"/>
        </w:rPr>
        <w:t>2</w:t>
      </w:r>
      <w:r>
        <w:rPr>
          <w:rFonts w:hint="eastAsia" w:ascii="仿宋_GB2312" w:hAnsi="ˎ̥" w:eastAsia="仿宋_GB2312"/>
          <w:color w:val="auto"/>
          <w:sz w:val="32"/>
          <w:szCs w:val="32"/>
        </w:rPr>
        <w:t>.</w:t>
      </w:r>
      <w:r>
        <w:rPr>
          <w:rFonts w:hint="eastAsia" w:ascii="仿宋_GB2312" w:hAnsi="ˎ̥" w:eastAsia="仿宋_GB2312"/>
          <w:b/>
          <w:color w:val="auto"/>
          <w:sz w:val="32"/>
          <w:szCs w:val="32"/>
        </w:rPr>
        <w:t>文化旅游体育与传媒支出（类）文化和旅游（款）行政运行（项）。</w:t>
      </w:r>
    </w:p>
    <w:p>
      <w:pPr>
        <w:ind w:firstLine="640" w:firstLineChars="200"/>
        <w:rPr>
          <w:rFonts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67.04</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67.04</w:t>
      </w:r>
      <w:r>
        <w:rPr>
          <w:rFonts w:hint="eastAsia" w:ascii="仿宋_GB2312" w:hAnsi="ˎ̥" w:eastAsia="仿宋_GB2312"/>
          <w:color w:val="auto"/>
          <w:sz w:val="32"/>
          <w:szCs w:val="32"/>
        </w:rPr>
        <w:t>万元，完成年初预算的100%。</w:t>
      </w:r>
      <w:r>
        <w:rPr>
          <w:rFonts w:hint="eastAsia" w:ascii="仿宋_GB2312" w:eastAsia="仿宋_GB2312"/>
          <w:color w:val="auto"/>
          <w:sz w:val="32"/>
          <w:szCs w:val="32"/>
        </w:rPr>
        <w:t>决算数大于（小于）预算数的主要原因：已完成100%；</w:t>
      </w:r>
    </w:p>
    <w:p>
      <w:pPr>
        <w:ind w:firstLine="640" w:firstLineChars="200"/>
        <w:rPr>
          <w:rFonts w:ascii="仿宋_GB2312" w:hAnsi="ˎ̥" w:eastAsia="仿宋_GB2312"/>
          <w:b/>
          <w:color w:val="auto"/>
          <w:sz w:val="32"/>
          <w:szCs w:val="32"/>
        </w:rPr>
      </w:pP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w:t>
      </w:r>
      <w:r>
        <w:rPr>
          <w:rFonts w:hint="eastAsia" w:ascii="仿宋_GB2312" w:hAnsi="ˎ̥" w:eastAsia="仿宋_GB2312"/>
          <w:b/>
          <w:color w:val="auto"/>
          <w:sz w:val="32"/>
          <w:szCs w:val="32"/>
        </w:rPr>
        <w:t>文化旅游体育与传媒支出（类）文化和旅游（款）一般行政管理事务</w:t>
      </w:r>
      <w:r>
        <w:rPr>
          <w:rFonts w:hint="eastAsia" w:ascii="仿宋_GB2312" w:hAnsi="ˎ̥" w:eastAsia="仿宋_GB2312"/>
          <w:b/>
          <w:color w:val="auto"/>
          <w:sz w:val="32"/>
          <w:szCs w:val="32"/>
          <w:lang w:eastAsia="zh-CN"/>
        </w:rPr>
        <w:t>（项）</w:t>
      </w:r>
      <w:r>
        <w:rPr>
          <w:rFonts w:hint="eastAsia" w:ascii="仿宋_GB2312" w:hAnsi="ˎ̥" w:eastAsia="仿宋_GB2312"/>
          <w:b/>
          <w:color w:val="auto"/>
          <w:sz w:val="32"/>
          <w:szCs w:val="32"/>
        </w:rPr>
        <w:t>。</w:t>
      </w:r>
    </w:p>
    <w:p>
      <w:pPr>
        <w:ind w:firstLine="640" w:firstLineChars="200"/>
        <w:rPr>
          <w:rFonts w:ascii="仿宋_GB2312"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0.59</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0.59</w:t>
      </w:r>
      <w:r>
        <w:rPr>
          <w:rFonts w:hint="eastAsia" w:ascii="仿宋_GB2312" w:hAnsi="ˎ̥" w:eastAsia="仿宋_GB2312"/>
          <w:color w:val="auto"/>
          <w:sz w:val="32"/>
          <w:szCs w:val="32"/>
        </w:rPr>
        <w:t>万元，完成年初预算的100%。</w:t>
      </w:r>
      <w:r>
        <w:rPr>
          <w:rFonts w:hint="eastAsia" w:ascii="仿宋_GB2312" w:eastAsia="仿宋_GB2312"/>
          <w:color w:val="auto"/>
          <w:sz w:val="32"/>
          <w:szCs w:val="32"/>
        </w:rPr>
        <w:t>决算数大于（小于）预算数的主要原因：已完成100%；</w:t>
      </w:r>
    </w:p>
    <w:p>
      <w:pPr>
        <w:ind w:firstLine="640" w:firstLineChars="200"/>
        <w:rPr>
          <w:rFonts w:ascii="仿宋_GB2312" w:hAnsi="ˎ̥" w:eastAsia="仿宋_GB2312"/>
          <w:b/>
          <w:color w:val="auto"/>
          <w:sz w:val="32"/>
          <w:szCs w:val="32"/>
        </w:rPr>
      </w:pPr>
      <w:r>
        <w:rPr>
          <w:rFonts w:hint="eastAsia" w:ascii="仿宋_GB2312" w:hAnsi="ˎ̥" w:eastAsia="仿宋_GB2312"/>
          <w:color w:val="auto"/>
          <w:sz w:val="32"/>
          <w:szCs w:val="32"/>
          <w:lang w:val="en-US" w:eastAsia="zh-CN"/>
        </w:rPr>
        <w:t>4</w:t>
      </w:r>
      <w:r>
        <w:rPr>
          <w:rFonts w:hint="eastAsia" w:ascii="仿宋_GB2312" w:hAnsi="ˎ̥" w:eastAsia="仿宋_GB2312"/>
          <w:color w:val="auto"/>
          <w:sz w:val="32"/>
          <w:szCs w:val="32"/>
        </w:rPr>
        <w:t>.</w:t>
      </w:r>
      <w:r>
        <w:rPr>
          <w:rFonts w:hint="eastAsia" w:ascii="仿宋_GB2312" w:hAnsi="ˎ̥" w:eastAsia="仿宋_GB2312"/>
          <w:b/>
          <w:color w:val="auto"/>
          <w:sz w:val="32"/>
          <w:szCs w:val="32"/>
        </w:rPr>
        <w:t>文化旅游体育与传媒支出（类）文化和旅游（款）文化和旅游交流与合作（项）。</w:t>
      </w:r>
    </w:p>
    <w:p>
      <w:pPr>
        <w:ind w:firstLine="640" w:firstLineChars="200"/>
        <w:rPr>
          <w:rFonts w:ascii="仿宋_GB2312"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17.11</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17.11</w:t>
      </w:r>
      <w:r>
        <w:rPr>
          <w:rFonts w:hint="eastAsia" w:ascii="仿宋_GB2312" w:hAnsi="ˎ̥" w:eastAsia="仿宋_GB2312"/>
          <w:color w:val="auto"/>
          <w:sz w:val="32"/>
          <w:szCs w:val="32"/>
        </w:rPr>
        <w:t>万元，完成年初预算的100%。</w:t>
      </w:r>
      <w:r>
        <w:rPr>
          <w:rFonts w:hint="eastAsia" w:ascii="仿宋_GB2312" w:eastAsia="仿宋_GB2312"/>
          <w:color w:val="auto"/>
          <w:sz w:val="32"/>
          <w:szCs w:val="32"/>
        </w:rPr>
        <w:t>决算数大于（小于）预算数的主要原因：已完成100%；</w:t>
      </w:r>
    </w:p>
    <w:p>
      <w:pPr>
        <w:ind w:firstLine="640" w:firstLineChars="200"/>
        <w:rPr>
          <w:rFonts w:hint="eastAsia" w:ascii="仿宋_GB2312" w:hAnsi="ˎ̥" w:eastAsia="仿宋_GB2312"/>
          <w:b/>
          <w:color w:val="auto"/>
          <w:sz w:val="32"/>
          <w:szCs w:val="32"/>
        </w:rPr>
      </w:pPr>
      <w:r>
        <w:rPr>
          <w:rFonts w:hint="eastAsia" w:ascii="仿宋_GB2312" w:hAnsi="ˎ̥" w:eastAsia="仿宋_GB2312"/>
          <w:color w:val="auto"/>
          <w:sz w:val="32"/>
          <w:szCs w:val="32"/>
          <w:lang w:val="en-US" w:eastAsia="zh-CN"/>
        </w:rPr>
        <w:t>5</w:t>
      </w:r>
      <w:r>
        <w:rPr>
          <w:rFonts w:hint="eastAsia" w:ascii="仿宋_GB2312" w:hAnsi="ˎ̥" w:eastAsia="仿宋_GB2312"/>
          <w:color w:val="auto"/>
          <w:sz w:val="32"/>
          <w:szCs w:val="32"/>
        </w:rPr>
        <w:t>.</w:t>
      </w:r>
      <w:r>
        <w:rPr>
          <w:rFonts w:hint="eastAsia" w:ascii="仿宋_GB2312" w:hAnsi="ˎ̥" w:eastAsia="仿宋_GB2312"/>
          <w:b/>
          <w:color w:val="auto"/>
          <w:sz w:val="32"/>
          <w:szCs w:val="32"/>
        </w:rPr>
        <w:t>社会保障和就业支出（类）行政事业单位养老支出（款）机关事业单位基本养老保险缴费支出（项）。</w:t>
      </w:r>
    </w:p>
    <w:p>
      <w:pPr>
        <w:ind w:firstLine="640" w:firstLineChars="200"/>
        <w:rPr>
          <w:rFonts w:hint="eastAsia" w:ascii="仿宋_GB2312" w:eastAsia="仿宋_GB2312"/>
          <w:color w:val="auto"/>
          <w:sz w:val="32"/>
          <w:szCs w:val="32"/>
        </w:rPr>
      </w:pPr>
      <w:r>
        <w:rPr>
          <w:rFonts w:hint="eastAsia" w:ascii="仿宋_GB2312" w:hAnsi="ˎ̥" w:eastAsia="仿宋_GB2312"/>
          <w:color w:val="auto"/>
          <w:sz w:val="32"/>
          <w:szCs w:val="32"/>
        </w:rPr>
        <w:t>年初预算为7</w:t>
      </w:r>
      <w:r>
        <w:rPr>
          <w:rFonts w:hint="eastAsia" w:ascii="仿宋_GB2312" w:hAnsi="ˎ̥" w:eastAsia="仿宋_GB2312"/>
          <w:color w:val="auto"/>
          <w:sz w:val="32"/>
          <w:szCs w:val="32"/>
          <w:lang w:val="en-US" w:eastAsia="zh-CN"/>
        </w:rPr>
        <w:t>.5</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7.5</w:t>
      </w:r>
      <w:r>
        <w:rPr>
          <w:rFonts w:hint="eastAsia" w:ascii="仿宋_GB2312" w:hAnsi="ˎ̥" w:eastAsia="仿宋_GB2312"/>
          <w:color w:val="auto"/>
          <w:sz w:val="32"/>
          <w:szCs w:val="32"/>
        </w:rPr>
        <w:t>万元，完成年初预算的100%。</w:t>
      </w:r>
      <w:r>
        <w:rPr>
          <w:rFonts w:hint="eastAsia" w:ascii="仿宋_GB2312" w:eastAsia="仿宋_GB2312"/>
          <w:color w:val="auto"/>
          <w:sz w:val="32"/>
          <w:szCs w:val="32"/>
        </w:rPr>
        <w:t>决算数大于（小于）预算数的主要原因：已完成100%；</w:t>
      </w:r>
    </w:p>
    <w:p>
      <w:pPr>
        <w:ind w:firstLine="640" w:firstLineChars="200"/>
        <w:rPr>
          <w:rFonts w:hint="eastAsia" w:ascii="仿宋_GB2312" w:hAnsi="ˎ̥" w:eastAsia="仿宋_GB2312"/>
          <w:b/>
          <w:color w:val="auto"/>
          <w:sz w:val="32"/>
          <w:szCs w:val="32"/>
        </w:rPr>
      </w:pPr>
      <w:r>
        <w:rPr>
          <w:rFonts w:hint="eastAsia" w:ascii="仿宋_GB2312" w:hAnsi="ˎ̥" w:eastAsia="仿宋_GB2312"/>
          <w:color w:val="auto"/>
          <w:sz w:val="32"/>
          <w:szCs w:val="32"/>
          <w:lang w:val="en-US" w:eastAsia="zh-CN"/>
        </w:rPr>
        <w:t>6</w:t>
      </w:r>
      <w:r>
        <w:rPr>
          <w:rFonts w:hint="eastAsia" w:ascii="仿宋_GB2312" w:hAnsi="ˎ̥" w:eastAsia="仿宋_GB2312"/>
          <w:color w:val="auto"/>
          <w:sz w:val="32"/>
          <w:szCs w:val="32"/>
        </w:rPr>
        <w:t>.</w:t>
      </w:r>
      <w:r>
        <w:rPr>
          <w:rFonts w:hint="eastAsia" w:ascii="仿宋_GB2312" w:hAnsi="ˎ̥" w:eastAsia="仿宋_GB2312"/>
          <w:b/>
          <w:color w:val="auto"/>
          <w:sz w:val="32"/>
          <w:szCs w:val="32"/>
        </w:rPr>
        <w:t>社会保障和就业支出（类）行政事业单位养老支出（款）机关事业单位职业年金缴费支出（项）。</w:t>
      </w:r>
    </w:p>
    <w:p>
      <w:pPr>
        <w:ind w:firstLine="640" w:firstLineChars="200"/>
        <w:rPr>
          <w:rFonts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3.75</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3.75</w:t>
      </w:r>
      <w:r>
        <w:rPr>
          <w:rFonts w:hint="eastAsia" w:ascii="仿宋_GB2312" w:hAnsi="ˎ̥" w:eastAsia="仿宋_GB2312"/>
          <w:color w:val="auto"/>
          <w:sz w:val="32"/>
          <w:szCs w:val="32"/>
        </w:rPr>
        <w:t>万元，完成年初预算的100%。</w:t>
      </w:r>
      <w:r>
        <w:rPr>
          <w:rFonts w:hint="eastAsia" w:ascii="仿宋_GB2312" w:eastAsia="仿宋_GB2312"/>
          <w:color w:val="auto"/>
          <w:sz w:val="32"/>
          <w:szCs w:val="32"/>
        </w:rPr>
        <w:t>决算数大于（小于）预算数的主要原因：已完成100%；</w:t>
      </w:r>
    </w:p>
    <w:p>
      <w:pPr>
        <w:ind w:firstLine="640" w:firstLineChars="200"/>
        <w:rPr>
          <w:rFonts w:ascii="仿宋_GB2312" w:hAnsi="ˎ̥" w:eastAsia="仿宋_GB2312"/>
          <w:b/>
          <w:color w:val="auto"/>
          <w:sz w:val="32"/>
          <w:szCs w:val="32"/>
        </w:rPr>
      </w:pPr>
      <w:r>
        <w:rPr>
          <w:rFonts w:hint="eastAsia" w:ascii="仿宋_GB2312" w:hAnsi="ˎ̥" w:eastAsia="仿宋_GB2312"/>
          <w:color w:val="auto"/>
          <w:sz w:val="32"/>
          <w:szCs w:val="32"/>
          <w:lang w:val="en-US" w:eastAsia="zh-CN"/>
        </w:rPr>
        <w:t>7</w:t>
      </w:r>
      <w:r>
        <w:rPr>
          <w:rFonts w:hint="eastAsia" w:ascii="仿宋_GB2312" w:hAnsi="ˎ̥" w:eastAsia="仿宋_GB2312"/>
          <w:color w:val="auto"/>
          <w:sz w:val="32"/>
          <w:szCs w:val="32"/>
        </w:rPr>
        <w:t>.</w:t>
      </w:r>
      <w:r>
        <w:rPr>
          <w:rFonts w:hint="eastAsia" w:ascii="仿宋_GB2312" w:hAnsi="ˎ̥" w:eastAsia="仿宋_GB2312"/>
          <w:b/>
          <w:color w:val="auto"/>
          <w:sz w:val="32"/>
          <w:szCs w:val="32"/>
        </w:rPr>
        <w:t>卫生健康支出（类）行政事业单位医疗（款）行政单位医疗（项）。</w:t>
      </w:r>
    </w:p>
    <w:p>
      <w:pPr>
        <w:ind w:firstLine="640" w:firstLineChars="200"/>
        <w:rPr>
          <w:rFonts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3.08</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3.08</w:t>
      </w:r>
      <w:r>
        <w:rPr>
          <w:rFonts w:hint="eastAsia" w:ascii="仿宋_GB2312" w:hAnsi="ˎ̥" w:eastAsia="仿宋_GB2312"/>
          <w:color w:val="auto"/>
          <w:sz w:val="32"/>
          <w:szCs w:val="32"/>
        </w:rPr>
        <w:t>万元，完成年初预算的100%。</w:t>
      </w:r>
      <w:r>
        <w:rPr>
          <w:rFonts w:hint="eastAsia" w:ascii="仿宋_GB2312" w:eastAsia="仿宋_GB2312"/>
          <w:color w:val="auto"/>
          <w:sz w:val="32"/>
          <w:szCs w:val="32"/>
        </w:rPr>
        <w:t>决算数大于（小于）预算数的主要原因：已完成100%；</w:t>
      </w:r>
    </w:p>
    <w:p>
      <w:pPr>
        <w:ind w:firstLine="640" w:firstLineChars="200"/>
        <w:jc w:val="both"/>
        <w:rPr>
          <w:rFonts w:ascii="仿宋_GB2312" w:hAnsi="ˎ̥" w:eastAsia="仿宋_GB2312"/>
          <w:b/>
          <w:color w:val="auto"/>
          <w:sz w:val="32"/>
          <w:szCs w:val="32"/>
        </w:rPr>
      </w:pPr>
      <w:r>
        <w:rPr>
          <w:rFonts w:hint="eastAsia" w:ascii="仿宋_GB2312" w:hAnsi="ˎ̥" w:eastAsia="仿宋_GB2312"/>
          <w:color w:val="auto"/>
          <w:sz w:val="32"/>
          <w:szCs w:val="32"/>
          <w:lang w:val="en-US" w:eastAsia="zh-CN"/>
        </w:rPr>
        <w:t>8.</w:t>
      </w:r>
      <w:r>
        <w:rPr>
          <w:rFonts w:hint="eastAsia" w:ascii="仿宋_GB2312" w:hAnsi="ˎ̥" w:eastAsia="仿宋_GB2312"/>
          <w:b/>
          <w:color w:val="auto"/>
          <w:sz w:val="32"/>
          <w:szCs w:val="32"/>
        </w:rPr>
        <w:t>卫生健康支出（类）行政事业单位医疗（款）公务员医疗补助（项）。</w:t>
      </w:r>
    </w:p>
    <w:p>
      <w:pPr>
        <w:ind w:firstLine="640" w:firstLineChars="200"/>
        <w:rPr>
          <w:rFonts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8.59</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8.59</w:t>
      </w:r>
      <w:r>
        <w:rPr>
          <w:rFonts w:hint="eastAsia" w:ascii="仿宋_GB2312" w:hAnsi="ˎ̥" w:eastAsia="仿宋_GB2312"/>
          <w:color w:val="auto"/>
          <w:sz w:val="32"/>
          <w:szCs w:val="32"/>
        </w:rPr>
        <w:t>万元，完成年初预算的100%。</w:t>
      </w:r>
      <w:r>
        <w:rPr>
          <w:rFonts w:hint="eastAsia" w:ascii="仿宋_GB2312" w:eastAsia="仿宋_GB2312"/>
          <w:color w:val="auto"/>
          <w:sz w:val="32"/>
          <w:szCs w:val="32"/>
        </w:rPr>
        <w:t>决算数大于（小于）预算数的主要原因：已完成100%；</w:t>
      </w:r>
    </w:p>
    <w:p>
      <w:pPr>
        <w:ind w:firstLine="640" w:firstLineChars="200"/>
        <w:rPr>
          <w:rFonts w:ascii="仿宋_GB2312" w:hAnsi="ˎ̥" w:eastAsia="仿宋_GB2312"/>
          <w:b/>
          <w:color w:val="auto"/>
          <w:sz w:val="32"/>
          <w:szCs w:val="32"/>
        </w:rPr>
      </w:pPr>
      <w:r>
        <w:rPr>
          <w:rFonts w:hint="eastAsia" w:ascii="仿宋_GB2312" w:hAnsi="ˎ̥" w:eastAsia="仿宋_GB2312"/>
          <w:color w:val="auto"/>
          <w:sz w:val="32"/>
          <w:szCs w:val="32"/>
          <w:lang w:val="en-US" w:eastAsia="zh-CN"/>
        </w:rPr>
        <w:t>9</w:t>
      </w:r>
      <w:r>
        <w:rPr>
          <w:rFonts w:hint="eastAsia" w:ascii="仿宋_GB2312" w:hAnsi="ˎ̥" w:eastAsia="仿宋_GB2312"/>
          <w:color w:val="auto"/>
          <w:sz w:val="32"/>
          <w:szCs w:val="32"/>
        </w:rPr>
        <w:t>.</w:t>
      </w:r>
      <w:r>
        <w:rPr>
          <w:rFonts w:hint="eastAsia" w:ascii="仿宋_GB2312" w:hAnsi="ˎ̥" w:eastAsia="仿宋_GB2312"/>
          <w:b/>
          <w:color w:val="auto"/>
          <w:sz w:val="32"/>
          <w:szCs w:val="32"/>
        </w:rPr>
        <w:t>农林水支出(类)巩固脱贫攻坚成果衔接乡村振兴（款）其他巩固脱贫攻坚成果衔接乡村振兴支出（项）。</w:t>
      </w:r>
    </w:p>
    <w:p>
      <w:pPr>
        <w:ind w:firstLine="640" w:firstLineChars="200"/>
        <w:rPr>
          <w:rFonts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2.71</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2.71</w:t>
      </w:r>
      <w:r>
        <w:rPr>
          <w:rFonts w:hint="eastAsia" w:ascii="仿宋_GB2312" w:hAnsi="ˎ̥" w:eastAsia="仿宋_GB2312"/>
          <w:color w:val="auto"/>
          <w:sz w:val="32"/>
          <w:szCs w:val="32"/>
        </w:rPr>
        <w:t>万元，完成年初预算的100%。</w:t>
      </w:r>
      <w:r>
        <w:rPr>
          <w:rFonts w:hint="eastAsia" w:ascii="仿宋_GB2312" w:eastAsia="仿宋_GB2312"/>
          <w:color w:val="auto"/>
          <w:sz w:val="32"/>
          <w:szCs w:val="32"/>
        </w:rPr>
        <w:t>决算数大于（小于）预算数的主要原因：已完成100%；</w:t>
      </w:r>
    </w:p>
    <w:p>
      <w:pPr>
        <w:ind w:firstLine="640" w:firstLineChars="200"/>
        <w:rPr>
          <w:rFonts w:ascii="仿宋_GB2312" w:hAnsi="ˎ̥" w:eastAsia="仿宋_GB2312"/>
          <w:b/>
          <w:color w:val="auto"/>
          <w:sz w:val="32"/>
          <w:szCs w:val="32"/>
        </w:rPr>
      </w:pPr>
      <w:r>
        <w:rPr>
          <w:rFonts w:hint="eastAsia" w:ascii="仿宋_GB2312" w:hAnsi="ˎ̥" w:eastAsia="仿宋_GB2312"/>
          <w:color w:val="auto"/>
          <w:sz w:val="32"/>
          <w:szCs w:val="32"/>
        </w:rPr>
        <w:t>1</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hint="eastAsia" w:ascii="仿宋_GB2312" w:hAnsi="ˎ̥" w:eastAsia="仿宋_GB2312"/>
          <w:b/>
          <w:color w:val="auto"/>
          <w:sz w:val="32"/>
          <w:szCs w:val="32"/>
        </w:rPr>
        <w:t>住房保障支出（类）住房改革支出（款）住房公积金（项）。</w:t>
      </w:r>
    </w:p>
    <w:p>
      <w:pPr>
        <w:ind w:firstLine="640" w:firstLineChars="200"/>
        <w:jc w:val="both"/>
        <w:rPr>
          <w:rFonts w:ascii="仿宋_GB2312" w:hAnsi="ˎ̥" w:eastAsia="仿宋_GB2312"/>
          <w:color w:val="auto"/>
          <w:sz w:val="32"/>
          <w:szCs w:val="32"/>
        </w:rPr>
      </w:pPr>
      <w:r>
        <w:rPr>
          <w:rFonts w:hint="eastAsia" w:ascii="仿宋_GB2312" w:hAnsi="ˎ̥" w:eastAsia="仿宋_GB2312"/>
          <w:color w:val="auto"/>
          <w:sz w:val="32"/>
          <w:szCs w:val="32"/>
        </w:rPr>
        <w:t>年初预算为6.</w:t>
      </w:r>
      <w:r>
        <w:rPr>
          <w:rFonts w:hint="eastAsia" w:ascii="仿宋_GB2312" w:hAnsi="ˎ̥" w:eastAsia="仿宋_GB2312"/>
          <w:color w:val="auto"/>
          <w:sz w:val="32"/>
          <w:szCs w:val="32"/>
          <w:lang w:val="en-US" w:eastAsia="zh-CN"/>
        </w:rPr>
        <w:t>78</w:t>
      </w:r>
      <w:r>
        <w:rPr>
          <w:rFonts w:hint="eastAsia" w:ascii="仿宋_GB2312" w:hAnsi="ˎ̥" w:eastAsia="仿宋_GB2312"/>
          <w:color w:val="auto"/>
          <w:sz w:val="32"/>
          <w:szCs w:val="32"/>
        </w:rPr>
        <w:t>万元，支出决算为6</w:t>
      </w:r>
      <w:r>
        <w:rPr>
          <w:rFonts w:hint="eastAsia" w:ascii="仿宋_GB2312" w:hAnsi="ˎ̥" w:eastAsia="仿宋_GB2312"/>
          <w:color w:val="auto"/>
          <w:sz w:val="32"/>
          <w:szCs w:val="32"/>
          <w:lang w:val="en-US" w:eastAsia="zh-CN"/>
        </w:rPr>
        <w:t>.78</w:t>
      </w:r>
      <w:r>
        <w:rPr>
          <w:rFonts w:hint="eastAsia" w:ascii="仿宋_GB2312" w:hAnsi="ˎ̥" w:eastAsia="仿宋_GB2312"/>
          <w:color w:val="auto"/>
          <w:sz w:val="32"/>
          <w:szCs w:val="32"/>
        </w:rPr>
        <w:t>万元，完成年初预算的100%。</w:t>
      </w:r>
      <w:r>
        <w:rPr>
          <w:rFonts w:hint="eastAsia" w:ascii="仿宋_GB2312" w:eastAsia="仿宋_GB2312"/>
          <w:color w:val="auto"/>
          <w:sz w:val="32"/>
          <w:szCs w:val="32"/>
        </w:rPr>
        <w:t>决算数大于（小于）预算数的主要原因：已完成100%；</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color w:val="auto"/>
          <w:sz w:val="32"/>
          <w:szCs w:val="32"/>
        </w:rPr>
      </w:pPr>
      <w:r>
        <w:rPr>
          <w:rFonts w:hint="eastAsia" w:ascii="黑体" w:hAnsi="黑体" w:eastAsia="黑体" w:cs="黑体"/>
          <w:bCs/>
          <w:color w:val="auto"/>
          <w:sz w:val="32"/>
          <w:szCs w:val="32"/>
        </w:rPr>
        <w:t>六、一般公共预算财政拨款基本支出决算情况说明</w:t>
      </w:r>
    </w:p>
    <w:p>
      <w:pPr>
        <w:tabs>
          <w:tab w:val="center" w:pos="4473"/>
        </w:tabs>
        <w:spacing w:line="578" w:lineRule="exact"/>
        <w:ind w:firstLine="640" w:firstLineChars="200"/>
        <w:rPr>
          <w:rFonts w:hint="eastAsia" w:ascii="仿宋_GB2312" w:hAnsi="ˎ̥" w:eastAsia="仿宋_GB2312"/>
          <w:color w:val="auto"/>
          <w:sz w:val="32"/>
          <w:szCs w:val="32"/>
          <w:lang w:eastAsia="zh-CN"/>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年度财政拨款基本支出</w:t>
      </w:r>
      <w:r>
        <w:rPr>
          <w:rFonts w:hint="eastAsia" w:ascii="仿宋_GB2312" w:hAnsi="ˎ̥" w:eastAsia="仿宋_GB2312"/>
          <w:color w:val="auto"/>
          <w:sz w:val="32"/>
          <w:szCs w:val="32"/>
          <w:lang w:val="en-US"/>
        </w:rPr>
        <w:t>96.73</w:t>
      </w:r>
      <w:r>
        <w:rPr>
          <w:rFonts w:hint="eastAsia" w:ascii="仿宋_GB2312" w:hAnsi="ˎ̥" w:eastAsia="仿宋_GB2312"/>
          <w:color w:val="auto"/>
          <w:sz w:val="32"/>
          <w:szCs w:val="32"/>
        </w:rPr>
        <w:t>万元，其中：人员经费</w:t>
      </w:r>
      <w:r>
        <w:rPr>
          <w:rFonts w:ascii="仿宋_GB2312" w:hAnsi="ˎ̥" w:eastAsia="仿宋_GB2312"/>
          <w:color w:val="auto"/>
          <w:sz w:val="32"/>
          <w:szCs w:val="32"/>
          <w:lang w:val="en-US"/>
        </w:rPr>
        <w:t>86.42</w:t>
      </w:r>
      <w:r>
        <w:rPr>
          <w:rFonts w:hint="eastAsia" w:ascii="仿宋_GB2312" w:hAnsi="ˎ̥" w:eastAsia="仿宋_GB2312"/>
          <w:color w:val="auto"/>
          <w:sz w:val="32"/>
          <w:szCs w:val="32"/>
        </w:rPr>
        <w:t>万元，主要包括：工资福利支出中的基本工资、津贴补贴、奖金、绩效工资、机关事业单位基本养老保险缴费、职业年金缴费、职工基本医疗保险缴费、公务员医疗补助缴费、其他社会保障缴费、住房公积金、其他工资福利支出；年休假报酬、职工探亲旅费</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其他对个人和家庭的补助。公用经费</w:t>
      </w:r>
      <w:r>
        <w:rPr>
          <w:rFonts w:ascii="仿宋_GB2312" w:hAnsi="ˎ̥" w:eastAsia="仿宋_GB2312"/>
          <w:color w:val="auto"/>
          <w:sz w:val="32"/>
          <w:szCs w:val="32"/>
          <w:lang w:val="en-US"/>
        </w:rPr>
        <w:t>10.31</w:t>
      </w:r>
      <w:r>
        <w:rPr>
          <w:rFonts w:hint="eastAsia" w:ascii="仿宋_GB2312" w:hAnsi="ˎ̥" w:eastAsia="仿宋_GB2312"/>
          <w:color w:val="auto"/>
          <w:sz w:val="32"/>
          <w:szCs w:val="32"/>
        </w:rPr>
        <w:t>万元，主要包括：商品和服务支出中的办公费、</w:t>
      </w:r>
      <w:r>
        <w:rPr>
          <w:rFonts w:hint="eastAsia" w:ascii="仿宋_GB2312" w:hAnsi="ˎ̥" w:eastAsia="仿宋_GB2312"/>
          <w:color w:val="auto"/>
          <w:sz w:val="32"/>
          <w:szCs w:val="32"/>
          <w:lang w:eastAsia="zh-CN"/>
        </w:rPr>
        <w:t>手续费、</w:t>
      </w:r>
      <w:r>
        <w:rPr>
          <w:rFonts w:hint="eastAsia" w:ascii="仿宋_GB2312" w:hAnsi="ˎ̥" w:eastAsia="仿宋_GB2312"/>
          <w:color w:val="auto"/>
          <w:sz w:val="32"/>
          <w:szCs w:val="32"/>
        </w:rPr>
        <w:t>邮电费</w:t>
      </w:r>
      <w:r>
        <w:rPr>
          <w:rFonts w:hint="eastAsia" w:ascii="仿宋_GB2312" w:hAnsi="ˎ̥" w:eastAsia="仿宋_GB2312"/>
          <w:color w:val="auto"/>
          <w:sz w:val="32"/>
          <w:szCs w:val="32"/>
          <w:lang w:eastAsia="zh-CN"/>
        </w:rPr>
        <w:t>、维修（护）费、  专用材料费、</w:t>
      </w:r>
      <w:r>
        <w:rPr>
          <w:rFonts w:hint="eastAsia" w:ascii="仿宋_GB2312" w:hAnsi="ˎ̥" w:eastAsia="仿宋_GB2312"/>
          <w:color w:val="auto"/>
          <w:sz w:val="32"/>
          <w:szCs w:val="32"/>
        </w:rPr>
        <w:t>差旅费、</w:t>
      </w:r>
      <w:r>
        <w:rPr>
          <w:rFonts w:hint="eastAsia" w:ascii="仿宋_GB2312" w:hAnsi="ˎ̥" w:eastAsia="仿宋_GB2312"/>
          <w:color w:val="auto"/>
          <w:sz w:val="32"/>
          <w:szCs w:val="32"/>
          <w:lang w:eastAsia="zh-CN"/>
        </w:rPr>
        <w:t>劳务费、</w:t>
      </w:r>
      <w:r>
        <w:rPr>
          <w:rFonts w:hint="eastAsia" w:ascii="仿宋_GB2312" w:hAnsi="ˎ̥" w:eastAsia="仿宋_GB2312"/>
          <w:color w:val="auto"/>
          <w:sz w:val="32"/>
          <w:szCs w:val="32"/>
        </w:rPr>
        <w:t>工会经费</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其他交通费用</w:t>
      </w:r>
      <w:r>
        <w:rPr>
          <w:rFonts w:hint="eastAsia" w:ascii="仿宋_GB2312" w:hAnsi="ˎ̥" w:eastAsia="仿宋_GB2312"/>
          <w:color w:val="auto"/>
          <w:sz w:val="32"/>
          <w:szCs w:val="32"/>
          <w:lang w:eastAsia="zh-CN"/>
        </w:rPr>
        <w:t>、商品和服务支出、</w:t>
      </w:r>
      <w:r>
        <w:rPr>
          <w:rFonts w:hint="eastAsia" w:ascii="仿宋_GB2312" w:hAnsi="ˎ̥" w:eastAsia="仿宋_GB2312"/>
          <w:color w:val="auto"/>
          <w:sz w:val="32"/>
          <w:szCs w:val="32"/>
        </w:rPr>
        <w:t>资本性支出中办公设备购置</w:t>
      </w:r>
      <w:r>
        <w:rPr>
          <w:rFonts w:hint="eastAsia" w:ascii="仿宋_GB2312" w:hAnsi="ˎ̥" w:eastAsia="仿宋_GB2312"/>
          <w:color w:val="auto"/>
          <w:sz w:val="32"/>
          <w:szCs w:val="32"/>
          <w:lang w:eastAsia="zh-CN"/>
        </w:rPr>
        <w:t>等。</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七、政府性基金预算财政拨款支出决算情况说明</w:t>
      </w:r>
    </w:p>
    <w:p>
      <w:pPr>
        <w:spacing w:line="578" w:lineRule="exact"/>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（一）政府性基金预算财政拨款支出决算总体情况。</w:t>
      </w:r>
    </w:p>
    <w:p>
      <w:pPr>
        <w:spacing w:before="100" w:beforeAutospacing="1" w:after="100" w:afterAutospacing="1" w:line="580" w:lineRule="exact"/>
        <w:ind w:firstLine="640"/>
        <w:contextualSpacing/>
        <w:jc w:val="both"/>
        <w:rPr>
          <w:rFonts w:hint="eastAsia" w:ascii="仿宋_GB2312" w:hAnsi="ˎ̥" w:eastAsia="仿宋_GB2312"/>
          <w:color w:val="auto"/>
          <w:sz w:val="32"/>
          <w:szCs w:val="32"/>
        </w:rPr>
      </w:pPr>
      <w:r>
        <w:rPr>
          <w:rFonts w:hint="eastAsia" w:ascii="仿宋_GB2312" w:hAnsi="ˎ̥" w:eastAsia="仿宋_GB2312"/>
          <w:color w:val="auto"/>
          <w:sz w:val="32"/>
          <w:szCs w:val="32"/>
        </w:rPr>
        <w:t>202</w:t>
      </w:r>
      <w:r>
        <w:rPr>
          <w:rFonts w:hint="eastAsia" w:ascii="仿宋_GB2312" w:hAnsi="ˎ̥" w:eastAsia="仿宋_GB2312"/>
          <w:color w:val="auto"/>
          <w:sz w:val="32"/>
          <w:szCs w:val="32"/>
          <w:lang w:val="en-US" w:eastAsia="zh-CN"/>
        </w:rPr>
        <w:t>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%。与202</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年度相比，政府性基金预算财政拨款支出增加（减少）</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hint="eastAsia" w:ascii="仿宋_GB2312" w:eastAsia="仿宋_GB2312"/>
          <w:color w:val="auto"/>
          <w:sz w:val="32"/>
          <w:szCs w:val="32"/>
        </w:rPr>
        <w:t>主要原因是</w:t>
      </w:r>
      <w:r>
        <w:rPr>
          <w:rFonts w:hint="eastAsia" w:ascii="仿宋_GB2312" w:hAnsi="ˎ̥" w:eastAsia="仿宋_GB2312"/>
          <w:color w:val="auto"/>
          <w:sz w:val="32"/>
          <w:szCs w:val="32"/>
        </w:rPr>
        <w:t>无此项资金</w:t>
      </w:r>
      <w:r>
        <w:rPr>
          <w:rFonts w:hint="eastAsia" w:ascii="仿宋_GB2312" w:eastAsia="仿宋_GB2312"/>
          <w:color w:val="auto"/>
          <w:sz w:val="32"/>
          <w:szCs w:val="32"/>
        </w:rPr>
        <w:t>。</w:t>
      </w:r>
    </w:p>
    <w:p>
      <w:pPr>
        <w:spacing w:line="578" w:lineRule="exact"/>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（二）政府性基金预算财政拨款支出决算结构情况。</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202</w:t>
      </w:r>
      <w:r>
        <w:rPr>
          <w:rFonts w:hint="eastAsia" w:ascii="仿宋_GB2312" w:hAnsi="ˎ̥" w:eastAsia="仿宋_GB2312"/>
          <w:color w:val="auto"/>
          <w:sz w:val="32"/>
          <w:szCs w:val="32"/>
          <w:lang w:val="en-US" w:eastAsia="zh-CN"/>
        </w:rPr>
        <w:t>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spacing w:line="578" w:lineRule="exact"/>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（三）政府性基金预算财政拨款支出决算具体情况。</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202</w:t>
      </w:r>
      <w:r>
        <w:rPr>
          <w:rFonts w:hint="eastAsia" w:ascii="仿宋_GB2312" w:hAnsi="ˎ̥" w:eastAsia="仿宋_GB2312"/>
          <w:color w:val="auto"/>
          <w:sz w:val="32"/>
          <w:szCs w:val="32"/>
          <w:lang w:val="en-US" w:eastAsia="zh-CN"/>
        </w:rPr>
        <w:t>4</w:t>
      </w:r>
      <w:r>
        <w:rPr>
          <w:rFonts w:hint="eastAsia" w:ascii="仿宋_GB2312" w:hAnsi="ˎ̥" w:eastAsia="仿宋_GB2312"/>
          <w:color w:val="auto"/>
          <w:sz w:val="32"/>
          <w:szCs w:val="32"/>
        </w:rPr>
        <w:t>年度政府性基金预算财政拨款支出年初预算为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%。其中：</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%。决算数大于（小于）</w:t>
      </w:r>
      <w:r>
        <w:rPr>
          <w:rFonts w:hint="eastAsia" w:ascii="仿宋_GB2312" w:eastAsia="仿宋_GB2312"/>
          <w:color w:val="auto"/>
          <w:sz w:val="32"/>
          <w:szCs w:val="32"/>
        </w:rPr>
        <w:t>预算数的主要原因：无</w:t>
      </w:r>
      <w:r>
        <w:rPr>
          <w:rFonts w:hint="eastAsia" w:ascii="仿宋_GB2312" w:hAnsi="ˎ̥" w:eastAsia="仿宋_GB2312"/>
          <w:color w:val="auto"/>
          <w:sz w:val="32"/>
          <w:szCs w:val="32"/>
        </w:rPr>
        <w:t>此项资金</w:t>
      </w:r>
      <w:r>
        <w:rPr>
          <w:rFonts w:hint="eastAsia" w:ascii="仿宋_GB2312" w:eastAsia="仿宋_GB2312"/>
          <w:color w:val="auto"/>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八、国有资本经营预算财政拨款支出决算情况说明</w:t>
      </w:r>
    </w:p>
    <w:p>
      <w:pPr>
        <w:spacing w:line="578" w:lineRule="exact"/>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（一）国有资本经营预算财政拨款支出决算总体情况。</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202</w:t>
      </w:r>
      <w:r>
        <w:rPr>
          <w:rFonts w:hint="eastAsia" w:ascii="仿宋_GB2312" w:hAnsi="ˎ̥" w:eastAsia="仿宋_GB2312"/>
          <w:color w:val="auto"/>
          <w:sz w:val="32"/>
          <w:szCs w:val="32"/>
          <w:lang w:val="en-US" w:eastAsia="zh-CN"/>
        </w:rPr>
        <w:t>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%。与202</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年度相比，国有资本经营预算财政拨款支出增加（减少）</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eastAsia="仿宋_GB2312"/>
          <w:color w:val="auto"/>
          <w:sz w:val="32"/>
          <w:szCs w:val="32"/>
        </w:rPr>
        <w:t>无</w:t>
      </w:r>
      <w:r>
        <w:rPr>
          <w:rFonts w:hint="eastAsia" w:ascii="仿宋_GB2312" w:hAnsi="ˎ̥" w:eastAsia="仿宋_GB2312"/>
          <w:color w:val="auto"/>
          <w:sz w:val="32"/>
          <w:szCs w:val="32"/>
        </w:rPr>
        <w:t>此项资金</w:t>
      </w:r>
      <w:r>
        <w:rPr>
          <w:rFonts w:hint="eastAsia" w:ascii="仿宋_GB2312" w:eastAsia="仿宋_GB2312"/>
          <w:color w:val="auto"/>
          <w:sz w:val="32"/>
          <w:szCs w:val="32"/>
        </w:rPr>
        <w:t>。</w:t>
      </w:r>
    </w:p>
    <w:p>
      <w:pPr>
        <w:spacing w:line="578" w:lineRule="exact"/>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（二）国有资本经营预算财政拨款支出决算结构情况。</w:t>
      </w:r>
    </w:p>
    <w:p>
      <w:pPr>
        <w:spacing w:line="578" w:lineRule="exact"/>
        <w:ind w:firstLine="640" w:firstLineChars="200"/>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202</w:t>
      </w:r>
      <w:r>
        <w:rPr>
          <w:rFonts w:hint="eastAsia" w:ascii="仿宋_GB2312" w:hAnsi="ˎ̥" w:eastAsia="仿宋_GB2312"/>
          <w:color w:val="auto"/>
          <w:sz w:val="32"/>
          <w:szCs w:val="32"/>
          <w:lang w:val="en-US" w:eastAsia="zh-CN"/>
        </w:rPr>
        <w:t>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spacing w:line="578" w:lineRule="exact"/>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（三）国有资本经营预算财政拨款支出决算具体情况。</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202</w:t>
      </w:r>
      <w:r>
        <w:rPr>
          <w:rFonts w:hint="eastAsia" w:ascii="仿宋_GB2312" w:hAnsi="ˎ̥" w:eastAsia="仿宋_GB2312"/>
          <w:color w:val="auto"/>
          <w:sz w:val="32"/>
          <w:szCs w:val="32"/>
          <w:lang w:val="en-US" w:eastAsia="zh-CN"/>
        </w:rPr>
        <w:t>4</w:t>
      </w:r>
      <w:r>
        <w:rPr>
          <w:rFonts w:hint="eastAsia" w:ascii="仿宋_GB2312" w:hAnsi="ˎ̥" w:eastAsia="仿宋_GB2312"/>
          <w:color w:val="auto"/>
          <w:sz w:val="32"/>
          <w:szCs w:val="32"/>
        </w:rPr>
        <w:t>年度国有资本经营预算财政拨款支出年初预算为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%。其中：</w:t>
      </w:r>
    </w:p>
    <w:p>
      <w:pPr>
        <w:spacing w:before="100" w:beforeAutospacing="1" w:after="100" w:afterAutospacing="1" w:line="580" w:lineRule="exact"/>
        <w:ind w:firstLine="640"/>
        <w:contextualSpacing/>
        <w:jc w:val="both"/>
        <w:rPr>
          <w:color w:val="auto"/>
        </w:rPr>
      </w:pPr>
      <w:r>
        <w:rPr>
          <w:rFonts w:hint="eastAsia" w:ascii="仿宋_GB2312" w:eastAsia="仿宋_GB2312"/>
          <w:color w:val="auto"/>
          <w:sz w:val="32"/>
          <w:szCs w:val="32"/>
        </w:rPr>
        <w:t>年初预算为0万元，支出决算为0万元，完成年初预算的0%。决算数大于（小于）预算数的主要原因：无</w:t>
      </w:r>
      <w:r>
        <w:rPr>
          <w:rFonts w:hint="eastAsia" w:ascii="仿宋_GB2312" w:hAnsi="ˎ̥" w:eastAsia="仿宋_GB2312"/>
          <w:color w:val="auto"/>
          <w:sz w:val="32"/>
          <w:szCs w:val="32"/>
        </w:rPr>
        <w:t>此项资金</w:t>
      </w:r>
      <w:r>
        <w:rPr>
          <w:rFonts w:hint="eastAsia" w:ascii="仿宋_GB2312" w:eastAsia="仿宋_GB2312"/>
          <w:color w:val="auto"/>
          <w:sz w:val="32"/>
          <w:szCs w:val="32"/>
        </w:rPr>
        <w:t>。</w:t>
      </w:r>
    </w:p>
    <w:p>
      <w:pPr>
        <w:keepNext w:val="0"/>
        <w:keepLines w:val="0"/>
        <w:pageBreakBefore w:val="0"/>
        <w:widowControl w:val="0"/>
        <w:numPr>
          <w:ilvl w:val="0"/>
          <w:numId w:val="1"/>
        </w:numPr>
        <w:kinsoku/>
        <w:wordWrap/>
        <w:overflowPunct/>
        <w:topLinePunct w:val="0"/>
        <w:autoSpaceDE/>
        <w:autoSpaceDN/>
        <w:bidi w:val="0"/>
        <w:adjustRightInd/>
        <w:snapToGrid/>
        <w:spacing w:line="578" w:lineRule="exact"/>
        <w:ind w:left="0" w:leftChars="0" w:firstLine="0" w:firstLineChars="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财政拨款“三公”经费支出决算情况说明</w:t>
      </w:r>
    </w:p>
    <w:p>
      <w:pPr>
        <w:spacing w:line="578" w:lineRule="exact"/>
        <w:ind w:firstLine="640" w:firstLineChars="200"/>
        <w:rPr>
          <w:rFonts w:hint="eastAsia" w:ascii="楷体" w:hAnsi="楷体" w:eastAsia="楷体" w:cs="楷体"/>
          <w:bCs/>
          <w:color w:val="auto"/>
          <w:sz w:val="32"/>
          <w:szCs w:val="32"/>
        </w:rPr>
      </w:pPr>
      <w:r>
        <w:rPr>
          <w:rFonts w:hint="eastAsia" w:ascii="楷体" w:hAnsi="楷体" w:eastAsia="楷体" w:cs="楷体"/>
          <w:bCs/>
          <w:color w:val="auto"/>
          <w:sz w:val="32"/>
          <w:szCs w:val="32"/>
        </w:rPr>
        <w:t>（一）财政拨款“三公”经费支出决算总体情况说明。</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202</w:t>
      </w:r>
      <w:r>
        <w:rPr>
          <w:rFonts w:hint="eastAsia" w:ascii="仿宋_GB2312" w:hAnsi="ˎ̥" w:eastAsia="仿宋_GB2312"/>
          <w:color w:val="auto"/>
          <w:sz w:val="32"/>
          <w:szCs w:val="32"/>
          <w:lang w:val="en-US" w:eastAsia="zh-CN"/>
        </w:rPr>
        <w:t>4</w:t>
      </w:r>
      <w:r>
        <w:rPr>
          <w:rFonts w:hint="eastAsia" w:ascii="仿宋_GB2312" w:hAnsi="ˎ̥" w:eastAsia="仿宋_GB2312"/>
          <w:color w:val="auto"/>
          <w:sz w:val="32"/>
          <w:szCs w:val="32"/>
        </w:rPr>
        <w:t>年度财政拨款“三公”经费支出预算为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ascii="仿宋_GB2312" w:hAnsi="ˎ̥" w:eastAsia="仿宋_GB2312"/>
          <w:color w:val="auto"/>
          <w:sz w:val="32"/>
          <w:szCs w:val="32"/>
        </w:rPr>
        <w:t>与</w:t>
      </w:r>
      <w:r>
        <w:rPr>
          <w:rFonts w:hint="eastAsia" w:ascii="仿宋_GB2312" w:hAnsi="ˎ̥" w:eastAsia="仿宋_GB2312"/>
          <w:color w:val="auto"/>
          <w:sz w:val="32"/>
          <w:szCs w:val="32"/>
        </w:rPr>
        <w:t>202</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“三公”经费支出增加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ascii="仿宋_GB2312" w:hAnsi="ˎ̥" w:eastAsia="仿宋_GB2312"/>
          <w:color w:val="auto"/>
          <w:sz w:val="32"/>
          <w:szCs w:val="32"/>
        </w:rPr>
        <w:t>主要原因是</w:t>
      </w:r>
      <w:r>
        <w:rPr>
          <w:rFonts w:hint="eastAsia" w:ascii="仿宋_GB2312" w:eastAsia="仿宋_GB2312"/>
          <w:color w:val="auto"/>
          <w:sz w:val="32"/>
          <w:szCs w:val="32"/>
        </w:rPr>
        <w:t>无</w:t>
      </w:r>
      <w:r>
        <w:rPr>
          <w:rFonts w:hint="eastAsia" w:ascii="仿宋_GB2312" w:hAnsi="ˎ̥" w:eastAsia="仿宋_GB2312"/>
          <w:color w:val="auto"/>
          <w:sz w:val="32"/>
          <w:szCs w:val="32"/>
        </w:rPr>
        <w:t>此项资金</w:t>
      </w:r>
      <w:r>
        <w:rPr>
          <w:rFonts w:hint="eastAsia" w:ascii="仿宋_GB2312" w:eastAsia="仿宋_GB2312"/>
          <w:color w:val="auto"/>
          <w:sz w:val="32"/>
          <w:szCs w:val="32"/>
        </w:rPr>
        <w:t>。</w:t>
      </w:r>
    </w:p>
    <w:p>
      <w:pPr>
        <w:spacing w:line="578" w:lineRule="exact"/>
        <w:rPr>
          <w:rFonts w:hint="eastAsia" w:ascii="楷体" w:hAnsi="楷体" w:eastAsia="楷体" w:cs="楷体"/>
          <w:color w:val="auto"/>
          <w:sz w:val="32"/>
          <w:szCs w:val="32"/>
        </w:rPr>
      </w:pPr>
      <w:r>
        <w:rPr>
          <w:rFonts w:hint="eastAsia" w:ascii="楷体" w:hAnsi="楷体" w:eastAsia="楷体" w:cs="楷体"/>
          <w:b/>
          <w:bCs/>
          <w:color w:val="auto"/>
          <w:sz w:val="32"/>
          <w:szCs w:val="32"/>
        </w:rPr>
        <w:t xml:space="preserve">   </w:t>
      </w:r>
      <w:r>
        <w:rPr>
          <w:rFonts w:hint="eastAsia" w:ascii="楷体" w:hAnsi="楷体" w:eastAsia="楷体" w:cs="楷体"/>
          <w:color w:val="auto"/>
          <w:sz w:val="32"/>
          <w:szCs w:val="32"/>
        </w:rPr>
        <w:t xml:space="preserve"> （二）财政拨款“三公”经费支出决算具体情况说明。</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202</w:t>
      </w:r>
      <w:r>
        <w:rPr>
          <w:rFonts w:hint="eastAsia" w:ascii="仿宋_GB2312" w:hAnsi="ˎ̥" w:eastAsia="仿宋_GB2312"/>
          <w:color w:val="auto"/>
          <w:sz w:val="32"/>
          <w:szCs w:val="32"/>
          <w:lang w:val="en-US" w:eastAsia="zh-CN"/>
        </w:rPr>
        <w:t>4</w:t>
      </w:r>
      <w:r>
        <w:rPr>
          <w:rFonts w:hint="eastAsia" w:ascii="仿宋_GB2312" w:hAnsi="ˎ̥" w:eastAsia="仿宋_GB2312"/>
          <w:color w:val="auto"/>
          <w:sz w:val="32"/>
          <w:szCs w:val="32"/>
        </w:rPr>
        <w:t>年度财政拨款“三公”经费支出决算中，因公出国（境）费支出决算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%；公务用车购置及运行维护费支出决算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%；公务接待费支出决算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%。具体情况如下：</w:t>
      </w:r>
    </w:p>
    <w:p>
      <w:pPr>
        <w:spacing w:line="578" w:lineRule="exact"/>
        <w:ind w:firstLine="643" w:firstLineChars="200"/>
        <w:rPr>
          <w:rFonts w:hint="eastAsia" w:ascii="仿宋_GB2312" w:hAnsi="ˎ̥" w:eastAsia="仿宋_GB2312"/>
          <w:color w:val="auto"/>
          <w:sz w:val="32"/>
          <w:szCs w:val="32"/>
        </w:rPr>
      </w:pPr>
      <w:r>
        <w:rPr>
          <w:rFonts w:hint="eastAsia" w:ascii="仿宋_GB2312" w:hAnsi="ˎ̥" w:eastAsia="仿宋_GB2312"/>
          <w:b/>
          <w:color w:val="auto"/>
          <w:sz w:val="32"/>
          <w:szCs w:val="32"/>
        </w:rPr>
        <w:t>1.因公出国（境）费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万元。全年安排因公出国（境）团组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个，因公出国（境）</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r>
        <w:rPr>
          <w:rFonts w:hint="eastAsia" w:ascii="仿宋_GB2312" w:hAnsi="ˎ̥" w:eastAsia="仿宋_GB2312"/>
          <w:color w:val="auto"/>
          <w:sz w:val="32"/>
          <w:szCs w:val="32"/>
          <w:lang w:val="en-US" w:eastAsia="zh-CN"/>
        </w:rPr>
        <w:t>0</w:t>
      </w:r>
    </w:p>
    <w:p>
      <w:pPr>
        <w:spacing w:line="578" w:lineRule="exact"/>
        <w:ind w:firstLine="640" w:firstLineChars="200"/>
        <w:rPr>
          <w:rFonts w:hint="eastAsia" w:ascii="仿宋_GB2312" w:hAnsi="ˎ̥" w:eastAsia="仿宋_GB2312"/>
          <w:color w:val="auto"/>
          <w:sz w:val="32"/>
          <w:szCs w:val="32"/>
          <w:lang w:eastAsia="zh-CN"/>
        </w:rPr>
      </w:pPr>
      <w:r>
        <w:rPr>
          <w:rFonts w:hint="eastAsia" w:ascii="仿宋_GB2312" w:hAnsi="ˎ̥" w:eastAsia="仿宋_GB2312"/>
          <w:color w:val="auto"/>
          <w:sz w:val="32"/>
          <w:szCs w:val="32"/>
        </w:rPr>
        <w:t>因公出国（境）费支出决算比预算数</w:t>
      </w:r>
      <w:r>
        <w:rPr>
          <w:rFonts w:hint="eastAsia" w:ascii="仿宋_GB2312" w:hAnsi="ˎ̥" w:eastAsia="仿宋_GB2312"/>
          <w:color w:val="auto"/>
          <w:sz w:val="32"/>
          <w:szCs w:val="32"/>
          <w:lang w:eastAsia="zh-CN"/>
        </w:rPr>
        <w:t>持平</w:t>
      </w:r>
      <w:r>
        <w:rPr>
          <w:rFonts w:hint="eastAsia" w:ascii="仿宋_GB2312" w:hAnsi="ˎ̥" w:eastAsia="仿宋_GB2312"/>
          <w:color w:val="auto"/>
          <w:sz w:val="32"/>
          <w:szCs w:val="32"/>
        </w:rPr>
        <w:t>。与202</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年度因公出国（境）费支出</w:t>
      </w:r>
      <w:r>
        <w:rPr>
          <w:rFonts w:hint="eastAsia" w:ascii="仿宋_GB2312" w:hAnsi="ˎ̥" w:eastAsia="仿宋_GB2312"/>
          <w:color w:val="auto"/>
          <w:sz w:val="32"/>
          <w:szCs w:val="32"/>
          <w:lang w:eastAsia="zh-CN"/>
        </w:rPr>
        <w:t>持平</w:t>
      </w:r>
      <w:r>
        <w:rPr>
          <w:rFonts w:ascii="仿宋_GB2312" w:hAnsi="ˎ̥" w:eastAsia="仿宋_GB2312"/>
          <w:color w:val="auto"/>
          <w:sz w:val="32"/>
          <w:szCs w:val="32"/>
        </w:rPr>
        <w:t>，</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无出国任务。</w:t>
      </w:r>
    </w:p>
    <w:p>
      <w:pPr>
        <w:spacing w:before="100" w:beforeAutospacing="1" w:after="100" w:afterAutospacing="1" w:line="580" w:lineRule="exact"/>
        <w:contextualSpacing/>
        <w:rPr>
          <w:color w:val="auto"/>
        </w:rPr>
      </w:pPr>
      <w:r>
        <w:rPr>
          <w:rFonts w:hint="eastAsia" w:ascii="仿宋_GB2312" w:hAnsi="ˎ̥" w:eastAsia="仿宋_GB2312"/>
          <w:b/>
          <w:color w:val="auto"/>
          <w:sz w:val="32"/>
          <w:szCs w:val="32"/>
        </w:rPr>
        <w:t xml:space="preserve">    </w:t>
      </w:r>
      <w:r>
        <w:rPr>
          <w:rFonts w:hint="eastAsia" w:ascii="仿宋_GB2312" w:eastAsia="仿宋_GB2312"/>
          <w:b/>
          <w:bCs/>
          <w:color w:val="auto"/>
          <w:sz w:val="32"/>
          <w:szCs w:val="32"/>
        </w:rPr>
        <w:t>2.公务用车购置及运行维护费支出</w:t>
      </w:r>
      <w:r>
        <w:rPr>
          <w:rFonts w:hint="eastAsia" w:ascii="仿宋_GB2312" w:eastAsia="仿宋_GB2312"/>
          <w:color w:val="auto"/>
          <w:sz w:val="32"/>
          <w:szCs w:val="32"/>
        </w:rPr>
        <w:t>0万元。其中：</w:t>
      </w:r>
    </w:p>
    <w:p>
      <w:pPr>
        <w:spacing w:before="100" w:beforeAutospacing="1" w:after="100" w:afterAutospacing="1" w:line="580" w:lineRule="exact"/>
        <w:ind w:firstLine="643"/>
        <w:contextualSpacing/>
        <w:rPr>
          <w:color w:val="auto"/>
        </w:rPr>
      </w:pPr>
      <w:r>
        <w:rPr>
          <w:rFonts w:hint="eastAsia" w:ascii="仿宋_GB2312" w:eastAsia="仿宋_GB2312"/>
          <w:b/>
          <w:bCs/>
          <w:color w:val="auto"/>
          <w:sz w:val="32"/>
          <w:szCs w:val="32"/>
        </w:rPr>
        <w:t>公务用车购置支出</w:t>
      </w:r>
      <w:r>
        <w:rPr>
          <w:rFonts w:hint="eastAsia" w:ascii="仿宋_GB2312" w:eastAsia="仿宋_GB2312"/>
          <w:color w:val="auto"/>
          <w:sz w:val="32"/>
          <w:szCs w:val="32"/>
        </w:rPr>
        <w:t>0万元，全年购置公务用车0辆，年末公务用车保有量0辆。</w:t>
      </w:r>
    </w:p>
    <w:p>
      <w:pPr>
        <w:spacing w:before="100" w:beforeAutospacing="1" w:after="100" w:afterAutospacing="1" w:line="580" w:lineRule="exact"/>
        <w:ind w:firstLine="643"/>
        <w:contextualSpacing/>
        <w:rPr>
          <w:color w:val="auto"/>
        </w:rPr>
      </w:pPr>
      <w:r>
        <w:rPr>
          <w:rFonts w:hint="eastAsia" w:ascii="仿宋_GB2312" w:eastAsia="仿宋_GB2312"/>
          <w:b/>
          <w:bCs/>
          <w:color w:val="auto"/>
          <w:sz w:val="32"/>
          <w:szCs w:val="32"/>
        </w:rPr>
        <w:t>公务用车运行维护费支出</w:t>
      </w:r>
      <w:r>
        <w:rPr>
          <w:rFonts w:hint="eastAsia" w:ascii="仿宋_GB2312" w:eastAsia="仿宋_GB2312"/>
          <w:color w:val="auto"/>
          <w:sz w:val="32"/>
          <w:szCs w:val="32"/>
        </w:rPr>
        <w:t>0万元。</w:t>
      </w:r>
    </w:p>
    <w:p>
      <w:pPr>
        <w:spacing w:line="578" w:lineRule="exact"/>
        <w:ind w:firstLine="640" w:firstLineChars="200"/>
        <w:rPr>
          <w:rFonts w:hint="eastAsia" w:ascii="仿宋_GB2312" w:hAnsi="ˎ̥" w:eastAsia="仿宋_GB2312"/>
          <w:color w:val="auto"/>
          <w:sz w:val="32"/>
          <w:szCs w:val="32"/>
          <w:lang w:eastAsia="zh-CN"/>
        </w:rPr>
      </w:pPr>
      <w:r>
        <w:rPr>
          <w:rFonts w:hint="eastAsia" w:ascii="仿宋_GB2312" w:hAnsi="ˎ̥" w:eastAsia="仿宋_GB2312"/>
          <w:bCs/>
          <w:color w:val="auto"/>
          <w:sz w:val="32"/>
          <w:szCs w:val="32"/>
        </w:rPr>
        <w:t>公务用车购置及运行维护费支出决算数</w:t>
      </w:r>
      <w:r>
        <w:rPr>
          <w:rFonts w:hint="eastAsia" w:ascii="仿宋_GB2312" w:hAnsi="ˎ̥" w:eastAsia="仿宋_GB2312"/>
          <w:color w:val="auto"/>
          <w:sz w:val="32"/>
          <w:szCs w:val="32"/>
        </w:rPr>
        <w:t>比预算数增加（减少）</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%。与202</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公务用车购置及运行维护费</w:t>
      </w:r>
      <w:r>
        <w:rPr>
          <w:rFonts w:hint="eastAsia" w:ascii="仿宋_GB2312" w:hAnsi="ˎ̥" w:eastAsia="仿宋_GB2312"/>
          <w:color w:val="auto"/>
          <w:sz w:val="32"/>
          <w:szCs w:val="32"/>
        </w:rPr>
        <w:t>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eastAsia="仿宋_GB2312"/>
          <w:color w:val="auto"/>
          <w:sz w:val="32"/>
          <w:szCs w:val="32"/>
        </w:rPr>
        <w:t>无</w:t>
      </w:r>
      <w:r>
        <w:rPr>
          <w:rFonts w:hint="eastAsia" w:ascii="仿宋_GB2312" w:hAnsi="ˎ̥" w:eastAsia="仿宋_GB2312"/>
          <w:color w:val="auto"/>
          <w:sz w:val="32"/>
          <w:szCs w:val="32"/>
        </w:rPr>
        <w:t>此项资金</w:t>
      </w:r>
      <w:r>
        <w:rPr>
          <w:rFonts w:hint="eastAsia" w:ascii="仿宋_GB2312" w:hAnsi="ˎ̥" w:eastAsia="仿宋_GB2312"/>
          <w:color w:val="auto"/>
          <w:sz w:val="32"/>
          <w:szCs w:val="32"/>
          <w:lang w:eastAsia="zh-CN"/>
        </w:rPr>
        <w:t>。</w:t>
      </w:r>
    </w:p>
    <w:p>
      <w:pPr>
        <w:spacing w:line="578" w:lineRule="exact"/>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3.公务接待费支出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万元，其中：</w:t>
      </w:r>
    </w:p>
    <w:p>
      <w:pPr>
        <w:spacing w:line="578" w:lineRule="exact"/>
        <w:ind w:firstLine="643" w:firstLineChars="200"/>
        <w:rPr>
          <w:rFonts w:hint="eastAsia" w:ascii="仿宋_GB2312" w:hAnsi="ˎ̥" w:eastAsia="仿宋_GB2312"/>
          <w:color w:val="auto"/>
          <w:sz w:val="32"/>
          <w:szCs w:val="32"/>
        </w:rPr>
      </w:pPr>
      <w:r>
        <w:rPr>
          <w:rFonts w:hint="eastAsia" w:ascii="仿宋_GB2312" w:hAnsi="ˎ̥" w:eastAsia="仿宋_GB2312"/>
          <w:b/>
          <w:color w:val="auto"/>
          <w:sz w:val="32"/>
          <w:szCs w:val="32"/>
        </w:rPr>
        <w:t>国内接待费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万元，国内公务接待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p>
    <w:p>
      <w:pPr>
        <w:spacing w:line="578" w:lineRule="exact"/>
        <w:ind w:firstLine="643" w:firstLineChars="200"/>
        <w:rPr>
          <w:rFonts w:hint="eastAsia" w:ascii="仿宋_GB2312" w:hAnsi="ˎ̥" w:eastAsia="仿宋_GB2312"/>
          <w:color w:val="auto"/>
          <w:sz w:val="32"/>
          <w:szCs w:val="32"/>
        </w:rPr>
      </w:pPr>
      <w:r>
        <w:rPr>
          <w:rFonts w:hint="eastAsia" w:ascii="仿宋_GB2312" w:hAnsi="ˎ̥" w:eastAsia="仿宋_GB2312"/>
          <w:b/>
          <w:bCs/>
          <w:color w:val="auto"/>
          <w:sz w:val="32"/>
          <w:szCs w:val="32"/>
        </w:rPr>
        <w:t>国（境）外接待费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万元，国（境）外公务接待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p>
    <w:p>
      <w:pPr>
        <w:spacing w:before="100" w:beforeAutospacing="1" w:after="100" w:afterAutospacing="1" w:line="580" w:lineRule="exact"/>
        <w:ind w:firstLine="640"/>
        <w:contextualSpacing/>
        <w:rPr>
          <w:rFonts w:hint="default" w:ascii="黑体" w:hAnsi="黑体" w:eastAsia="黑体" w:cs="黑体"/>
          <w:bCs/>
          <w:color w:val="auto"/>
          <w:sz w:val="32"/>
          <w:szCs w:val="32"/>
          <w:lang w:val="en-US" w:eastAsia="zh-CN"/>
        </w:rPr>
      </w:pPr>
      <w:r>
        <w:rPr>
          <w:rFonts w:hint="eastAsia" w:ascii="仿宋_GB2312" w:hAnsi="ˎ̥" w:eastAsia="仿宋_GB2312"/>
          <w:color w:val="auto"/>
          <w:sz w:val="32"/>
          <w:szCs w:val="32"/>
        </w:rPr>
        <w:t>公务接待费支出决算数比预算数增加（减少）</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%。与202</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公务接待费</w:t>
      </w:r>
      <w:r>
        <w:rPr>
          <w:rFonts w:hint="eastAsia" w:ascii="仿宋_GB2312" w:hAnsi="ˎ̥" w:eastAsia="仿宋_GB2312"/>
          <w:color w:val="auto"/>
          <w:sz w:val="32"/>
          <w:szCs w:val="32"/>
        </w:rPr>
        <w:t>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hint="eastAsia" w:ascii="仿宋_GB2312" w:eastAsia="仿宋_GB2312"/>
          <w:color w:val="auto"/>
          <w:sz w:val="32"/>
          <w:szCs w:val="32"/>
        </w:rPr>
        <w:t>主要原因是无</w:t>
      </w:r>
      <w:r>
        <w:rPr>
          <w:rFonts w:hint="eastAsia" w:ascii="仿宋_GB2312" w:hAnsi="ˎ̥" w:eastAsia="仿宋_GB2312"/>
          <w:color w:val="auto"/>
          <w:sz w:val="32"/>
          <w:szCs w:val="32"/>
        </w:rPr>
        <w:t>此项资金</w:t>
      </w:r>
      <w:r>
        <w:rPr>
          <w:rFonts w:hint="eastAsia" w:ascii="仿宋_GB2312"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（一）绩效管理工作开展情况</w:t>
      </w:r>
    </w:p>
    <w:p>
      <w:pPr>
        <w:spacing w:before="100" w:beforeAutospacing="1" w:after="100" w:afterAutospacing="1" w:line="580" w:lineRule="exact"/>
        <w:ind w:firstLine="640" w:firstLineChars="200"/>
        <w:contextualSpacing/>
        <w:rPr>
          <w:color w:val="auto"/>
          <w:highlight w:val="none"/>
        </w:rPr>
      </w:pPr>
      <w:r>
        <w:rPr>
          <w:rFonts w:hint="eastAsia" w:ascii="仿宋_GB2312" w:eastAsia="仿宋_GB2312"/>
          <w:color w:val="auto"/>
          <w:sz w:val="32"/>
          <w:szCs w:val="32"/>
          <w:highlight w:val="none"/>
        </w:rPr>
        <w:t>根据财政预算绩效管理要求，我单位组织对20</w:t>
      </w:r>
      <w:r>
        <w:rPr>
          <w:rFonts w:hint="eastAsia" w:ascii="仿宋_GB2312" w:eastAsia="仿宋_GB2312"/>
          <w:color w:val="auto"/>
          <w:sz w:val="32"/>
          <w:szCs w:val="32"/>
          <w:highlight w:val="none"/>
          <w:lang w:val="en-US" w:eastAsia="zh-CN"/>
        </w:rPr>
        <w:t>24</w:t>
      </w:r>
      <w:r>
        <w:rPr>
          <w:rFonts w:hint="eastAsia" w:ascii="仿宋_GB2312" w:eastAsia="仿宋_GB2312"/>
          <w:color w:val="auto"/>
          <w:sz w:val="32"/>
          <w:szCs w:val="32"/>
          <w:highlight w:val="none"/>
        </w:rPr>
        <w:t>年度一般公共预算项目支出全面开展绩效自评。项目</w:t>
      </w:r>
      <w:r>
        <w:rPr>
          <w:rFonts w:hint="eastAsia" w:ascii="仿宋_GB2312" w:eastAsia="仿宋_GB2312"/>
          <w:color w:val="auto"/>
          <w:sz w:val="32"/>
          <w:szCs w:val="32"/>
          <w:highlight w:val="none"/>
          <w:lang w:val="en-US" w:eastAsia="zh-CN"/>
        </w:rPr>
        <w:t>15</w:t>
      </w:r>
      <w:r>
        <w:rPr>
          <w:rFonts w:hint="eastAsia" w:ascii="仿宋_GB2312" w:eastAsia="仿宋_GB2312"/>
          <w:color w:val="auto"/>
          <w:sz w:val="32"/>
          <w:szCs w:val="32"/>
          <w:highlight w:val="none"/>
        </w:rPr>
        <w:t>个，共涉及资金</w:t>
      </w:r>
      <w:r>
        <w:rPr>
          <w:rFonts w:hint="eastAsia" w:ascii="仿宋_GB2312" w:eastAsia="仿宋_GB2312"/>
          <w:color w:val="auto"/>
          <w:sz w:val="32"/>
          <w:szCs w:val="32"/>
          <w:highlight w:val="none"/>
          <w:lang w:val="en-US" w:eastAsia="zh-CN"/>
        </w:rPr>
        <w:t>137.14</w:t>
      </w:r>
      <w:r>
        <w:rPr>
          <w:rFonts w:hint="eastAsia" w:ascii="仿宋_GB2312" w:eastAsia="仿宋_GB2312"/>
          <w:color w:val="auto"/>
          <w:sz w:val="32"/>
          <w:szCs w:val="32"/>
          <w:highlight w:val="none"/>
        </w:rPr>
        <w:t>万元，占一般公共预算项目支出总额的</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%。组织对202</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年度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个政府性基金预算项目开展绩效自评，共涉及资金</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万元，占政府性基金预算项目支出总额的</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%。组织对202</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年度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 xml:space="preserve">个国有资本经营预算项目开展绩效自评，共涉及资金 </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万元，占国有资本经营预算项目支出总额的</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w:t>
      </w:r>
    </w:p>
    <w:p>
      <w:pPr>
        <w:spacing w:before="100" w:beforeAutospacing="1" w:after="100" w:afterAutospacing="1" w:line="580" w:lineRule="exact"/>
        <w:ind w:firstLine="640"/>
        <w:contextualSpacing/>
        <w:rPr>
          <w:color w:val="auto"/>
          <w:highlight w:val="none"/>
        </w:rPr>
      </w:pPr>
      <w:r>
        <w:rPr>
          <w:rFonts w:hint="eastAsia" w:ascii="仿宋_GB2312" w:eastAsia="仿宋_GB2312"/>
          <w:color w:val="auto"/>
          <w:sz w:val="32"/>
          <w:szCs w:val="32"/>
          <w:highlight w:val="none"/>
        </w:rPr>
        <w:t>共组织对</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个项目开展了部门评价，涉及一般公共预算支出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万元，政府性基金预算支出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万元，国有资本经营预算支出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县文联预算经费有限，</w:t>
      </w:r>
      <w:r>
        <w:rPr>
          <w:rFonts w:hint="eastAsia" w:ascii="仿宋_GB2312" w:eastAsia="仿宋_GB2312"/>
          <w:color w:val="auto"/>
          <w:sz w:val="32"/>
          <w:szCs w:val="32"/>
          <w:highlight w:val="none"/>
        </w:rPr>
        <w:t>本年没有进行相关工作</w:t>
      </w:r>
      <w:r>
        <w:rPr>
          <w:rFonts w:hint="eastAsia" w:ascii="仿宋_GB2312" w:eastAsia="仿宋_GB2312"/>
          <w:color w:val="auto"/>
          <w:sz w:val="32"/>
          <w:szCs w:val="32"/>
          <w:highlight w:val="none"/>
          <w:lang w:eastAsia="zh-CN"/>
        </w:rPr>
        <w:t>。</w:t>
      </w:r>
    </w:p>
    <w:p>
      <w:pPr>
        <w:spacing w:before="100" w:beforeAutospacing="1" w:after="100" w:afterAutospacing="1" w:line="580" w:lineRule="exact"/>
        <w:ind w:firstLine="640"/>
        <w:contextualSpacing/>
        <w:rPr>
          <w:color w:val="auto"/>
        </w:rPr>
      </w:pPr>
      <w:r>
        <w:rPr>
          <w:rFonts w:hint="eastAsia" w:ascii="仿宋_GB2312" w:eastAsia="仿宋_GB2312"/>
          <w:color w:val="auto"/>
          <w:sz w:val="32"/>
          <w:szCs w:val="32"/>
        </w:rPr>
        <w:t>完成部门整体支出绩效评价，涉及一般公共预算支出</w:t>
      </w:r>
      <w:r>
        <w:rPr>
          <w:rFonts w:hint="eastAsia" w:ascii="仿宋_GB2312" w:eastAsia="仿宋_GB2312"/>
          <w:color w:val="auto"/>
          <w:sz w:val="32"/>
          <w:szCs w:val="32"/>
          <w:lang w:val="en-US" w:eastAsia="zh-CN"/>
        </w:rPr>
        <w:t>0.00</w:t>
      </w:r>
      <w:r>
        <w:rPr>
          <w:rFonts w:hint="eastAsia" w:ascii="仿宋_GB2312" w:eastAsia="仿宋_GB2312"/>
          <w:color w:val="auto"/>
          <w:sz w:val="32"/>
          <w:szCs w:val="32"/>
        </w:rPr>
        <w:t>万元，政府性基金预算支出0</w:t>
      </w:r>
      <w:r>
        <w:rPr>
          <w:rFonts w:hint="eastAsia" w:ascii="仿宋_GB2312" w:eastAsia="仿宋_GB2312"/>
          <w:color w:val="auto"/>
          <w:sz w:val="32"/>
          <w:szCs w:val="32"/>
          <w:lang w:val="en-US" w:eastAsia="zh-CN"/>
        </w:rPr>
        <w:t>.00</w:t>
      </w:r>
      <w:r>
        <w:rPr>
          <w:rFonts w:hint="eastAsia" w:ascii="仿宋_GB2312" w:eastAsia="仿宋_GB2312"/>
          <w:color w:val="auto"/>
          <w:sz w:val="32"/>
          <w:szCs w:val="32"/>
        </w:rPr>
        <w:t>万元</w:t>
      </w:r>
      <w:r>
        <w:rPr>
          <w:rFonts w:hint="eastAsia" w:ascii="仿宋_GB2312" w:eastAsia="仿宋_GB2312"/>
          <w:color w:val="auto"/>
          <w:sz w:val="32"/>
          <w:szCs w:val="32"/>
          <w:lang w:eastAsia="zh-CN"/>
        </w:rPr>
        <w:t>，</w:t>
      </w:r>
      <w:r>
        <w:rPr>
          <w:rFonts w:hint="eastAsia" w:ascii="仿宋_GB2312" w:eastAsia="仿宋_GB2312"/>
          <w:color w:val="auto"/>
          <w:sz w:val="32"/>
          <w:szCs w:val="32"/>
          <w:highlight w:val="none"/>
          <w:lang w:eastAsia="zh-CN"/>
        </w:rPr>
        <w:t>县文联预算经费有限，</w:t>
      </w:r>
      <w:r>
        <w:rPr>
          <w:rFonts w:hint="eastAsia" w:ascii="仿宋_GB2312" w:eastAsia="仿宋_GB2312"/>
          <w:color w:val="auto"/>
          <w:sz w:val="32"/>
          <w:szCs w:val="32"/>
          <w:lang w:eastAsia="zh-CN"/>
        </w:rPr>
        <w:t>县文联</w:t>
      </w:r>
      <w:r>
        <w:rPr>
          <w:rFonts w:hint="eastAsia" w:ascii="仿宋_GB2312" w:eastAsia="仿宋_GB2312"/>
          <w:color w:val="auto"/>
          <w:sz w:val="32"/>
          <w:szCs w:val="32"/>
          <w:highlight w:val="none"/>
        </w:rPr>
        <w:t>本年没有进行相关工作</w:t>
      </w:r>
      <w:r>
        <w:rPr>
          <w:rFonts w:hint="eastAsia" w:ascii="仿宋_GB2312" w:eastAsia="仿宋_GB2312"/>
          <w:color w:val="auto"/>
          <w:sz w:val="32"/>
          <w:szCs w:val="32"/>
          <w:highlight w:val="none"/>
          <w:lang w:eastAsia="zh-CN"/>
        </w:rPr>
        <w:t>。</w:t>
      </w:r>
    </w:p>
    <w:p>
      <w:pPr>
        <w:keepNext w:val="0"/>
        <w:keepLines w:val="0"/>
        <w:pageBreakBefore w:val="0"/>
        <w:widowControl w:val="0"/>
        <w:numPr>
          <w:ilvl w:val="0"/>
          <w:numId w:val="4"/>
        </w:numPr>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部门决算中项目绩效自评结果</w:t>
      </w:r>
    </w:p>
    <w:p>
      <w:pPr>
        <w:numPr>
          <w:ilvl w:val="0"/>
          <w:numId w:val="0"/>
        </w:numPr>
        <w:spacing w:line="578"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我单位</w:t>
      </w:r>
      <w:r>
        <w:rPr>
          <w:rFonts w:hint="eastAsia" w:ascii="仿宋_GB2312" w:eastAsia="仿宋_GB2312"/>
          <w:color w:val="auto"/>
          <w:sz w:val="32"/>
          <w:szCs w:val="32"/>
          <w:lang w:eastAsia="zh-CN"/>
        </w:rPr>
        <w:t>在</w:t>
      </w:r>
      <w:r>
        <w:rPr>
          <w:rFonts w:hint="eastAsia" w:ascii="仿宋_GB2312" w:eastAsia="仿宋_GB2312"/>
          <w:color w:val="auto"/>
          <w:sz w:val="32"/>
          <w:szCs w:val="32"/>
        </w:rPr>
        <w:t>决算中反映</w:t>
      </w:r>
      <w:r>
        <w:rPr>
          <w:rFonts w:hint="eastAsia" w:ascii="仿宋_GB2312" w:eastAsia="仿宋_GB2312"/>
          <w:color w:val="auto"/>
          <w:sz w:val="32"/>
          <w:szCs w:val="32"/>
          <w:lang w:eastAsia="zh-CN"/>
        </w:rPr>
        <w:t>《文学与艺术活动》、《</w:t>
      </w:r>
      <w:r>
        <w:rPr>
          <w:rFonts w:hint="eastAsia" w:ascii="仿宋_GB2312" w:eastAsia="仿宋_GB2312"/>
          <w:color w:val="auto"/>
          <w:sz w:val="32"/>
          <w:szCs w:val="32"/>
        </w:rPr>
        <w:t>少数民族事业发展专项资金</w:t>
      </w:r>
      <w:r>
        <w:rPr>
          <w:rFonts w:hint="eastAsia" w:ascii="仿宋_GB2312" w:eastAsia="仿宋_GB2312"/>
          <w:color w:val="auto"/>
          <w:sz w:val="32"/>
          <w:szCs w:val="32"/>
          <w:lang w:eastAsia="zh-CN"/>
        </w:rPr>
        <w:t>》</w:t>
      </w:r>
      <w:r>
        <w:rPr>
          <w:rFonts w:hint="eastAsia" w:ascii="仿宋_GB2312" w:eastAsia="仿宋_GB2312"/>
          <w:color w:val="auto"/>
          <w:sz w:val="32"/>
          <w:szCs w:val="32"/>
        </w:rPr>
        <w:t>等</w:t>
      </w:r>
      <w:r>
        <w:rPr>
          <w:rFonts w:hint="eastAsia" w:ascii="仿宋_GB2312" w:eastAsia="仿宋_GB2312"/>
          <w:color w:val="auto"/>
          <w:sz w:val="32"/>
          <w:szCs w:val="32"/>
          <w:lang w:val="en-US" w:eastAsia="zh-CN"/>
        </w:rPr>
        <w:t>2</w:t>
      </w:r>
      <w:r>
        <w:rPr>
          <w:rFonts w:hint="eastAsia" w:ascii="仿宋_GB2312" w:eastAsia="仿宋_GB2312"/>
          <w:color w:val="auto"/>
          <w:sz w:val="32"/>
          <w:szCs w:val="32"/>
        </w:rPr>
        <w:t>个项目绩效自评结果。</w:t>
      </w:r>
    </w:p>
    <w:p>
      <w:pPr>
        <w:spacing w:line="578" w:lineRule="exact"/>
        <w:ind w:firstLine="643" w:firstLineChars="200"/>
        <w:rPr>
          <w:rFonts w:hint="eastAsia" w:ascii="仿宋_GB2312" w:eastAsia="仿宋_GB2312"/>
          <w:color w:val="auto"/>
          <w:sz w:val="32"/>
          <w:szCs w:val="32"/>
          <w:lang w:val="en-US" w:eastAsia="zh-CN"/>
        </w:rPr>
      </w:pPr>
      <w:r>
        <w:rPr>
          <w:rFonts w:hint="eastAsia" w:ascii="仿宋_GB2312" w:eastAsia="仿宋_GB2312"/>
          <w:b/>
          <w:bCs/>
          <w:color w:val="auto"/>
          <w:sz w:val="32"/>
          <w:szCs w:val="32"/>
          <w:lang w:eastAsia="zh-CN"/>
        </w:rPr>
        <w:t>《文化与艺术活动》</w:t>
      </w:r>
      <w:r>
        <w:rPr>
          <w:rFonts w:hint="eastAsia" w:ascii="仿宋_GB2312" w:eastAsia="仿宋_GB2312"/>
          <w:color w:val="auto"/>
          <w:sz w:val="32"/>
          <w:szCs w:val="32"/>
        </w:rPr>
        <w:t>项目</w:t>
      </w:r>
      <w:r>
        <w:rPr>
          <w:rFonts w:hint="eastAsia" w:ascii="仿宋_GB2312" w:eastAsia="仿宋_GB2312"/>
          <w:color w:val="auto"/>
          <w:sz w:val="32"/>
          <w:szCs w:val="32"/>
          <w:lang w:eastAsia="zh-CN"/>
        </w:rPr>
        <w:t>支出</w:t>
      </w:r>
      <w:r>
        <w:rPr>
          <w:rFonts w:hint="eastAsia" w:ascii="仿宋_GB2312" w:eastAsia="仿宋_GB2312"/>
          <w:color w:val="auto"/>
          <w:sz w:val="32"/>
          <w:szCs w:val="32"/>
        </w:rPr>
        <w:t>绩效自评表</w:t>
      </w:r>
      <w:r>
        <w:rPr>
          <w:rFonts w:hint="eastAsia" w:ascii="仿宋_GB2312" w:eastAsia="仿宋_GB2312"/>
          <w:color w:val="auto"/>
          <w:sz w:val="32"/>
          <w:szCs w:val="32"/>
          <w:lang w:eastAsia="zh-CN"/>
        </w:rPr>
        <w:t>（详见附件</w:t>
      </w:r>
      <w:r>
        <w:rPr>
          <w:rFonts w:hint="eastAsia" w:ascii="仿宋_GB2312" w:eastAsia="仿宋_GB2312"/>
          <w:color w:val="auto"/>
          <w:sz w:val="32"/>
          <w:szCs w:val="32"/>
          <w:lang w:val="en-US" w:eastAsia="zh-CN"/>
        </w:rPr>
        <w:t>2）：</w:t>
      </w:r>
    </w:p>
    <w:p>
      <w:pPr>
        <w:numPr>
          <w:ilvl w:val="0"/>
          <w:numId w:val="5"/>
        </w:numPr>
        <w:spacing w:before="100" w:beforeAutospacing="1" w:after="100" w:afterAutospacing="1" w:line="580" w:lineRule="exact"/>
        <w:ind w:firstLine="960" w:firstLineChars="300"/>
        <w:contextualSpacing/>
        <w:rPr>
          <w:rFonts w:hint="eastAsia" w:ascii="仿宋" w:hAnsi="仿宋" w:eastAsia="仿宋" w:cs="仿宋"/>
          <w:color w:val="auto"/>
          <w:sz w:val="32"/>
          <w:szCs w:val="32"/>
          <w:lang w:val="en-US" w:eastAsia="zh-CN"/>
        </w:rPr>
      </w:pPr>
      <w:r>
        <w:rPr>
          <w:rFonts w:hint="eastAsia" w:ascii="仿宋_GB2312" w:eastAsia="仿宋_GB2312"/>
          <w:color w:val="auto"/>
          <w:sz w:val="32"/>
          <w:szCs w:val="32"/>
          <w:lang w:val="en-US" w:eastAsia="zh-CN"/>
        </w:rPr>
        <w:t>产出指标；</w:t>
      </w:r>
      <w:r>
        <w:rPr>
          <w:rFonts w:hint="eastAsia" w:ascii="仿宋" w:hAnsi="仿宋" w:eastAsia="仿宋" w:cs="仿宋"/>
          <w:color w:val="auto"/>
          <w:sz w:val="32"/>
          <w:szCs w:val="32"/>
          <w:lang w:eastAsia="zh-CN"/>
        </w:rPr>
        <w:t>数量</w:t>
      </w:r>
      <w:r>
        <w:rPr>
          <w:rFonts w:hint="eastAsia" w:ascii="仿宋" w:hAnsi="仿宋" w:eastAsia="仿宋" w:cs="仿宋"/>
          <w:color w:val="auto"/>
          <w:sz w:val="32"/>
          <w:szCs w:val="32"/>
        </w:rPr>
        <w:t>指标</w:t>
      </w:r>
      <w:r>
        <w:rPr>
          <w:rFonts w:hint="eastAsia" w:ascii="仿宋" w:hAnsi="仿宋" w:eastAsia="仿宋" w:cs="仿宋"/>
          <w:color w:val="auto"/>
          <w:sz w:val="32"/>
          <w:szCs w:val="32"/>
          <w:lang w:eastAsia="zh-CN"/>
        </w:rPr>
        <w:t>；文化艺术活动</w:t>
      </w:r>
      <w:r>
        <w:rPr>
          <w:rFonts w:hint="eastAsia" w:ascii="仿宋" w:hAnsi="仿宋" w:eastAsia="仿宋" w:cs="仿宋"/>
          <w:color w:val="auto"/>
          <w:sz w:val="32"/>
          <w:szCs w:val="32"/>
          <w:lang w:val="en-US" w:eastAsia="zh-CN"/>
        </w:rPr>
        <w:t>10</w:t>
      </w:r>
      <w:r>
        <w:rPr>
          <w:rFonts w:hint="eastAsia" w:ascii="仿宋" w:hAnsi="仿宋" w:eastAsia="仿宋" w:cs="仿宋"/>
          <w:color w:val="auto"/>
          <w:sz w:val="32"/>
          <w:szCs w:val="32"/>
          <w:lang w:eastAsia="zh-CN"/>
        </w:rPr>
        <w:t>个项目等。</w:t>
      </w:r>
    </w:p>
    <w:p>
      <w:pPr>
        <w:numPr>
          <w:ilvl w:val="0"/>
          <w:numId w:val="5"/>
        </w:numPr>
        <w:spacing w:before="100" w:beforeAutospacing="1" w:after="100" w:afterAutospacing="1" w:line="580" w:lineRule="exact"/>
        <w:ind w:firstLine="960" w:firstLineChars="300"/>
        <w:contextualSpacing/>
        <w:rPr>
          <w:rFonts w:hint="eastAsia" w:ascii="仿宋" w:hAnsi="仿宋" w:eastAsia="仿宋" w:cs="仿宋"/>
          <w:color w:val="auto"/>
          <w:sz w:val="32"/>
          <w:szCs w:val="32"/>
          <w:lang w:val="en-US" w:eastAsia="zh-CN"/>
        </w:rPr>
      </w:pPr>
      <w:r>
        <w:rPr>
          <w:rFonts w:hint="eastAsia" w:ascii="仿宋_GB2312" w:eastAsia="仿宋_GB2312"/>
          <w:color w:val="auto"/>
          <w:sz w:val="32"/>
          <w:szCs w:val="32"/>
          <w:lang w:val="en-US" w:eastAsia="zh-CN"/>
        </w:rPr>
        <w:t>产出指标；</w:t>
      </w:r>
      <w:r>
        <w:rPr>
          <w:rFonts w:hint="eastAsia" w:ascii="仿宋" w:hAnsi="仿宋" w:eastAsia="仿宋" w:cs="仿宋"/>
          <w:color w:val="auto"/>
          <w:sz w:val="32"/>
          <w:szCs w:val="32"/>
          <w:lang w:eastAsia="zh-CN"/>
        </w:rPr>
        <w:t>质量指标；项目活动经费支出合规性。</w:t>
      </w:r>
    </w:p>
    <w:p>
      <w:pPr>
        <w:numPr>
          <w:ilvl w:val="0"/>
          <w:numId w:val="5"/>
        </w:numPr>
        <w:spacing w:before="100" w:beforeAutospacing="1" w:after="100" w:afterAutospacing="1" w:line="580" w:lineRule="exact"/>
        <w:ind w:left="0" w:leftChars="0" w:firstLine="960" w:firstLineChars="300"/>
        <w:contextualSpacing/>
        <w:rPr>
          <w:rFonts w:hint="eastAsia" w:ascii="仿宋" w:hAnsi="仿宋" w:eastAsia="仿宋" w:cs="仿宋"/>
          <w:color w:val="auto"/>
          <w:sz w:val="32"/>
          <w:szCs w:val="32"/>
          <w:lang w:eastAsia="zh-CN"/>
        </w:rPr>
      </w:pPr>
      <w:r>
        <w:rPr>
          <w:rFonts w:hint="eastAsia" w:ascii="仿宋_GB2312" w:eastAsia="仿宋_GB2312"/>
          <w:color w:val="auto"/>
          <w:sz w:val="32"/>
          <w:szCs w:val="32"/>
          <w:lang w:val="en-US" w:eastAsia="zh-CN"/>
        </w:rPr>
        <w:t>效益指标；</w:t>
      </w:r>
      <w:r>
        <w:rPr>
          <w:rFonts w:hint="eastAsia" w:ascii="仿宋" w:hAnsi="仿宋" w:eastAsia="仿宋" w:cs="仿宋"/>
          <w:color w:val="auto"/>
          <w:sz w:val="32"/>
          <w:szCs w:val="32"/>
          <w:lang w:eastAsia="zh-CN"/>
        </w:rPr>
        <w:t>社会效益指标：通过多种表演形式，丰富群众生活，助力保亭县精神文明建设，展示海南省少数民族地区及少数民族的发展成就，体现新时代民族精神、风情文化</w:t>
      </w:r>
    </w:p>
    <w:p>
      <w:pPr>
        <w:numPr>
          <w:ilvl w:val="0"/>
          <w:numId w:val="5"/>
        </w:numPr>
        <w:spacing w:before="100" w:beforeAutospacing="1" w:after="100" w:afterAutospacing="1" w:line="580" w:lineRule="exact"/>
        <w:ind w:left="0" w:leftChars="0" w:firstLine="960" w:firstLineChars="300"/>
        <w:contextualSpacing/>
        <w:rPr>
          <w:rFonts w:hint="eastAsia" w:ascii="仿宋" w:hAnsi="仿宋" w:eastAsia="仿宋" w:cs="仿宋"/>
          <w:color w:val="auto"/>
          <w:sz w:val="32"/>
          <w:szCs w:val="32"/>
          <w:lang w:eastAsia="zh-CN"/>
        </w:rPr>
      </w:pPr>
      <w:r>
        <w:rPr>
          <w:rFonts w:hint="eastAsia" w:ascii="仿宋_GB2312" w:eastAsia="仿宋_GB2312"/>
          <w:color w:val="auto"/>
          <w:sz w:val="32"/>
          <w:szCs w:val="32"/>
          <w:lang w:val="en-US" w:eastAsia="zh-CN"/>
        </w:rPr>
        <w:t>效益指标；</w:t>
      </w:r>
      <w:r>
        <w:rPr>
          <w:rFonts w:hint="eastAsia" w:ascii="仿宋" w:hAnsi="仿宋" w:eastAsia="仿宋" w:cs="仿宋"/>
          <w:color w:val="auto"/>
          <w:sz w:val="32"/>
          <w:szCs w:val="32"/>
          <w:lang w:eastAsia="zh-CN"/>
        </w:rPr>
        <w:t>可持续影响；提升群众文化艺术水平，发挥优秀群众文艺作品需求，推动公共文化服务体系建设中的作用影响程度。</w:t>
      </w:r>
    </w:p>
    <w:p>
      <w:pPr>
        <w:numPr>
          <w:ilvl w:val="0"/>
          <w:numId w:val="5"/>
        </w:numPr>
        <w:spacing w:before="100" w:beforeAutospacing="1" w:after="100" w:afterAutospacing="1" w:line="580" w:lineRule="exact"/>
        <w:ind w:left="0" w:leftChars="0" w:firstLine="960" w:firstLineChars="300"/>
        <w:contextualSpacing/>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服务对象满意度指标；群众评价满意度。</w:t>
      </w:r>
    </w:p>
    <w:p>
      <w:pPr>
        <w:spacing w:line="578"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lang w:eastAsia="zh-CN"/>
        </w:rPr>
        <w:t>《文化与艺术活动》</w:t>
      </w:r>
      <w:r>
        <w:rPr>
          <w:rFonts w:hint="eastAsia" w:ascii="仿宋_GB2312" w:eastAsia="仿宋_GB2312"/>
          <w:color w:val="auto"/>
          <w:sz w:val="32"/>
          <w:szCs w:val="32"/>
        </w:rPr>
        <w:t>项目绩效自评报告：根据年初设定的绩效目标，项目绩效自评得分为</w:t>
      </w:r>
      <w:r>
        <w:rPr>
          <w:rFonts w:hint="eastAsia" w:ascii="仿宋_GB2312" w:eastAsia="仿宋_GB2312"/>
          <w:color w:val="auto"/>
          <w:sz w:val="32"/>
          <w:szCs w:val="32"/>
          <w:lang w:val="en-US" w:eastAsia="zh-CN"/>
        </w:rPr>
        <w:t>98</w:t>
      </w:r>
      <w:r>
        <w:rPr>
          <w:rFonts w:hint="eastAsia" w:ascii="仿宋_GB2312" w:eastAsia="仿宋_GB2312"/>
          <w:color w:val="auto"/>
          <w:sz w:val="32"/>
          <w:szCs w:val="32"/>
        </w:rPr>
        <w:t>分。全年预算数为</w:t>
      </w:r>
      <w:r>
        <w:rPr>
          <w:rFonts w:hint="eastAsia" w:ascii="仿宋_GB2312" w:eastAsia="仿宋_GB2312"/>
          <w:color w:val="auto"/>
          <w:sz w:val="32"/>
          <w:szCs w:val="32"/>
          <w:lang w:val="en-US" w:eastAsia="zh-CN"/>
        </w:rPr>
        <w:t>11.4</w:t>
      </w:r>
      <w:r>
        <w:rPr>
          <w:rFonts w:hint="eastAsia" w:ascii="仿宋_GB2312" w:eastAsia="仿宋_GB2312"/>
          <w:color w:val="auto"/>
          <w:sz w:val="32"/>
          <w:szCs w:val="32"/>
        </w:rPr>
        <w:t>万元，执行数为</w:t>
      </w:r>
      <w:r>
        <w:rPr>
          <w:rFonts w:hint="eastAsia" w:ascii="仿宋_GB2312" w:eastAsia="仿宋_GB2312"/>
          <w:color w:val="auto"/>
          <w:sz w:val="32"/>
          <w:szCs w:val="32"/>
          <w:lang w:val="en-US" w:eastAsia="zh-CN"/>
        </w:rPr>
        <w:t>10.7</w:t>
      </w:r>
      <w:r>
        <w:rPr>
          <w:rFonts w:hint="eastAsia" w:ascii="仿宋_GB2312" w:eastAsia="仿宋_GB2312"/>
          <w:color w:val="auto"/>
          <w:sz w:val="32"/>
          <w:szCs w:val="32"/>
        </w:rPr>
        <w:t>万元，完成预算的</w:t>
      </w:r>
      <w:r>
        <w:rPr>
          <w:rFonts w:hint="eastAsia" w:ascii="仿宋_GB2312" w:eastAsia="仿宋_GB2312"/>
          <w:color w:val="auto"/>
          <w:sz w:val="32"/>
          <w:szCs w:val="32"/>
          <w:lang w:val="en-US" w:eastAsia="zh-CN"/>
        </w:rPr>
        <w:t>93.84</w:t>
      </w:r>
      <w:r>
        <w:rPr>
          <w:rFonts w:hint="eastAsia" w:ascii="仿宋_GB2312" w:eastAsia="仿宋_GB2312"/>
          <w:color w:val="auto"/>
          <w:sz w:val="32"/>
          <w:szCs w:val="32"/>
        </w:rPr>
        <w:t>%。项目绩效目标完成情况：2024年县文联"文学与艺术活动”经费共计支出11.4万元，资金支出率93.84%,其中余6.16%未支出，因年底报账材料搜集未齐全未及时报账；主要项目活动经费为雨林仙境 百花迎春”朗诵活动；2024年“迎春送福进万家”文艺志愿服务春节走基层；《七仙岭文艺》是由县文联主办的内部刊物，该经费用于《七仙岭文艺》征集费、编辑费、印刷费等相关费用共4.5万元.；保亭、陵水县文联“寻迹雨林”采风写生创作交流活动；保亭黎族苗族自治县2024年“宪法宣传周”活动；保亭县庆“八一”文艺晚会活动；文联下属各协会培训及采风活动经费等。发现的主要问题及原因：</w:t>
      </w:r>
      <w:r>
        <w:rPr>
          <w:rFonts w:hint="eastAsia" w:ascii="仿宋_GB2312" w:eastAsia="仿宋_GB2312"/>
          <w:color w:val="auto"/>
          <w:sz w:val="32"/>
          <w:szCs w:val="32"/>
          <w:lang w:eastAsia="zh-CN"/>
        </w:rPr>
        <w:t>无；</w:t>
      </w:r>
      <w:r>
        <w:rPr>
          <w:rFonts w:hint="eastAsia" w:ascii="仿宋_GB2312" w:eastAsia="仿宋_GB2312"/>
          <w:color w:val="auto"/>
          <w:sz w:val="32"/>
          <w:szCs w:val="32"/>
        </w:rPr>
        <w:t>下一步改进措施：</w:t>
      </w:r>
      <w:r>
        <w:rPr>
          <w:rFonts w:hint="eastAsia" w:ascii="仿宋_GB2312" w:eastAsia="仿宋_GB2312"/>
          <w:color w:val="auto"/>
          <w:sz w:val="32"/>
          <w:szCs w:val="32"/>
          <w:lang w:eastAsia="zh-CN"/>
        </w:rPr>
        <w:t>无</w:t>
      </w:r>
      <w:r>
        <w:rPr>
          <w:rFonts w:hint="eastAsia" w:ascii="仿宋_GB2312" w:eastAsia="仿宋_GB2312"/>
          <w:color w:val="auto"/>
          <w:sz w:val="32"/>
          <w:szCs w:val="32"/>
        </w:rPr>
        <w:t>。</w:t>
      </w:r>
    </w:p>
    <w:p>
      <w:pPr>
        <w:spacing w:line="578" w:lineRule="exact"/>
        <w:ind w:firstLine="643" w:firstLineChars="200"/>
        <w:rPr>
          <w:rFonts w:hint="eastAsia" w:ascii="仿宋_GB2312" w:eastAsia="仿宋_GB2312"/>
          <w:color w:val="auto"/>
          <w:sz w:val="32"/>
          <w:szCs w:val="32"/>
          <w:lang w:val="en-US" w:eastAsia="zh-CN"/>
        </w:rPr>
      </w:pPr>
      <w:r>
        <w:rPr>
          <w:rFonts w:hint="eastAsia" w:ascii="仿宋_GB2312" w:eastAsia="仿宋_GB2312"/>
          <w:b/>
          <w:bCs/>
          <w:color w:val="auto"/>
          <w:sz w:val="32"/>
          <w:szCs w:val="32"/>
          <w:lang w:eastAsia="zh-CN"/>
        </w:rPr>
        <w:t>《少数民族事业发展专项资金》</w:t>
      </w:r>
      <w:r>
        <w:rPr>
          <w:rFonts w:hint="eastAsia" w:ascii="仿宋_GB2312" w:eastAsia="仿宋_GB2312"/>
          <w:color w:val="auto"/>
          <w:sz w:val="32"/>
          <w:szCs w:val="32"/>
        </w:rPr>
        <w:t>项目</w:t>
      </w:r>
      <w:r>
        <w:rPr>
          <w:rFonts w:hint="eastAsia" w:ascii="仿宋_GB2312" w:eastAsia="仿宋_GB2312"/>
          <w:color w:val="auto"/>
          <w:sz w:val="32"/>
          <w:szCs w:val="32"/>
          <w:lang w:eastAsia="zh-CN"/>
        </w:rPr>
        <w:t>支出</w:t>
      </w:r>
      <w:r>
        <w:rPr>
          <w:rFonts w:hint="eastAsia" w:ascii="仿宋_GB2312" w:eastAsia="仿宋_GB2312"/>
          <w:color w:val="auto"/>
          <w:sz w:val="32"/>
          <w:szCs w:val="32"/>
        </w:rPr>
        <w:t>绩效自评表</w:t>
      </w:r>
      <w:r>
        <w:rPr>
          <w:rFonts w:hint="eastAsia" w:ascii="仿宋_GB2312" w:eastAsia="仿宋_GB2312"/>
          <w:color w:val="auto"/>
          <w:sz w:val="32"/>
          <w:szCs w:val="32"/>
          <w:lang w:eastAsia="zh-CN"/>
        </w:rPr>
        <w:t>（详见附件</w:t>
      </w:r>
      <w:r>
        <w:rPr>
          <w:rFonts w:hint="eastAsia" w:ascii="仿宋_GB2312" w:eastAsia="仿宋_GB2312"/>
          <w:color w:val="auto"/>
          <w:sz w:val="32"/>
          <w:szCs w:val="32"/>
          <w:lang w:val="en-US" w:eastAsia="zh-CN"/>
        </w:rPr>
        <w:t>2）：</w:t>
      </w:r>
    </w:p>
    <w:p>
      <w:pPr>
        <w:numPr>
          <w:ilvl w:val="0"/>
          <w:numId w:val="0"/>
        </w:numPr>
        <w:spacing w:before="100" w:beforeAutospacing="1" w:after="100" w:afterAutospacing="1" w:line="580" w:lineRule="exact"/>
        <w:ind w:firstLine="640" w:firstLineChars="200"/>
        <w:contextualSpacing/>
        <w:rPr>
          <w:rFonts w:hint="eastAsia" w:ascii="仿宋" w:hAnsi="仿宋" w:eastAsia="仿宋" w:cs="仿宋"/>
          <w:color w:val="auto"/>
          <w:sz w:val="32"/>
          <w:szCs w:val="32"/>
          <w:lang w:eastAsia="zh-CN"/>
        </w:rPr>
      </w:pPr>
      <w:r>
        <w:rPr>
          <w:rFonts w:hint="eastAsia" w:ascii="仿宋_GB2312" w:eastAsia="仿宋_GB2312"/>
          <w:color w:val="auto"/>
          <w:sz w:val="32"/>
          <w:szCs w:val="32"/>
          <w:lang w:val="en-US" w:eastAsia="zh-CN"/>
        </w:rPr>
        <w:t>1.产出指标；</w:t>
      </w:r>
      <w:r>
        <w:rPr>
          <w:rFonts w:hint="eastAsia" w:ascii="仿宋" w:hAnsi="仿宋" w:eastAsia="仿宋" w:cs="仿宋"/>
          <w:color w:val="auto"/>
          <w:sz w:val="32"/>
          <w:szCs w:val="32"/>
          <w:lang w:eastAsia="zh-CN"/>
        </w:rPr>
        <w:t>数量</w:t>
      </w:r>
      <w:r>
        <w:rPr>
          <w:rFonts w:hint="eastAsia" w:ascii="仿宋" w:hAnsi="仿宋" w:eastAsia="仿宋" w:cs="仿宋"/>
          <w:color w:val="auto"/>
          <w:sz w:val="32"/>
          <w:szCs w:val="32"/>
        </w:rPr>
        <w:t>指标</w:t>
      </w:r>
      <w:r>
        <w:rPr>
          <w:rFonts w:hint="eastAsia" w:ascii="仿宋" w:hAnsi="仿宋" w:eastAsia="仿宋" w:cs="仿宋"/>
          <w:color w:val="auto"/>
          <w:sz w:val="32"/>
          <w:szCs w:val="32"/>
          <w:lang w:eastAsia="zh-CN"/>
        </w:rPr>
        <w:t>；摄影展入选作品稿费、作品展出数量</w:t>
      </w:r>
      <w:r>
        <w:rPr>
          <w:rFonts w:hint="eastAsia" w:ascii="仿宋" w:hAnsi="仿宋" w:eastAsia="仿宋" w:cs="仿宋"/>
          <w:color w:val="auto"/>
          <w:sz w:val="32"/>
          <w:szCs w:val="32"/>
          <w:lang w:val="en-US" w:eastAsia="zh-CN"/>
        </w:rPr>
        <w:t>120件左右</w:t>
      </w:r>
      <w:r>
        <w:rPr>
          <w:rFonts w:hint="eastAsia" w:ascii="仿宋" w:hAnsi="仿宋" w:eastAsia="仿宋" w:cs="仿宋"/>
          <w:color w:val="auto"/>
          <w:sz w:val="32"/>
          <w:szCs w:val="32"/>
          <w:lang w:eastAsia="zh-CN"/>
        </w:rPr>
        <w:t>。</w:t>
      </w:r>
    </w:p>
    <w:p>
      <w:pPr>
        <w:numPr>
          <w:ilvl w:val="0"/>
          <w:numId w:val="0"/>
        </w:numPr>
        <w:spacing w:before="100" w:beforeAutospacing="1" w:after="100" w:afterAutospacing="1" w:line="580" w:lineRule="exact"/>
        <w:ind w:firstLine="640" w:firstLineChars="200"/>
        <w:contextualSpacing/>
        <w:rPr>
          <w:rFonts w:hint="eastAsia" w:ascii="仿宋" w:hAnsi="仿宋" w:eastAsia="仿宋" w:cs="仿宋"/>
          <w:color w:val="auto"/>
          <w:sz w:val="32"/>
          <w:szCs w:val="32"/>
          <w:lang w:eastAsia="zh-CN"/>
        </w:rPr>
      </w:pPr>
      <w:r>
        <w:rPr>
          <w:rFonts w:hint="eastAsia" w:ascii="仿宋_GB2312" w:eastAsia="仿宋_GB2312"/>
          <w:color w:val="auto"/>
          <w:sz w:val="32"/>
          <w:szCs w:val="32"/>
          <w:lang w:val="en-US" w:eastAsia="zh-CN"/>
        </w:rPr>
        <w:t>2.效益指标；</w:t>
      </w:r>
      <w:r>
        <w:rPr>
          <w:rFonts w:hint="eastAsia" w:ascii="仿宋" w:hAnsi="仿宋" w:eastAsia="仿宋" w:cs="仿宋"/>
          <w:color w:val="auto"/>
          <w:sz w:val="32"/>
          <w:szCs w:val="32"/>
          <w:lang w:eastAsia="zh-CN"/>
        </w:rPr>
        <w:t>社会效益指标：参赛摄影作品应充分展示海南热带雨林国家公园地区优美的自然资源，非遗文化传承，黎族苗族民俗节庆、人文风情等。</w:t>
      </w:r>
    </w:p>
    <w:p>
      <w:pPr>
        <w:numPr>
          <w:ilvl w:val="0"/>
          <w:numId w:val="0"/>
        </w:numPr>
        <w:spacing w:before="100" w:beforeAutospacing="1" w:after="100" w:afterAutospacing="1" w:line="580" w:lineRule="exact"/>
        <w:ind w:leftChars="300"/>
        <w:contextualSpacing/>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lang w:eastAsia="zh-CN"/>
        </w:rPr>
        <w:t>服务对象满意度指标；群众评价满意度。</w:t>
      </w:r>
    </w:p>
    <w:p>
      <w:pPr>
        <w:spacing w:line="578"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lang w:eastAsia="zh-CN"/>
        </w:rPr>
        <w:t>《少数民族事业发展专项资金》</w:t>
      </w:r>
      <w:r>
        <w:rPr>
          <w:rFonts w:hint="eastAsia" w:ascii="仿宋_GB2312" w:eastAsia="仿宋_GB2312"/>
          <w:color w:val="auto"/>
          <w:sz w:val="32"/>
          <w:szCs w:val="32"/>
        </w:rPr>
        <w:t>项目绩效自评报告：根据年初设定的绩效目标，项目绩效自评得分为</w:t>
      </w:r>
      <w:r>
        <w:rPr>
          <w:rFonts w:hint="eastAsia" w:ascii="仿宋_GB2312" w:eastAsia="仿宋_GB2312"/>
          <w:color w:val="auto"/>
          <w:sz w:val="32"/>
          <w:szCs w:val="32"/>
          <w:lang w:val="en-US" w:eastAsia="zh-CN"/>
        </w:rPr>
        <w:t>100</w:t>
      </w:r>
      <w:r>
        <w:rPr>
          <w:rFonts w:hint="eastAsia" w:ascii="仿宋_GB2312" w:eastAsia="仿宋_GB2312"/>
          <w:color w:val="auto"/>
          <w:sz w:val="32"/>
          <w:szCs w:val="32"/>
        </w:rPr>
        <w:t>分。全年预算数为</w:t>
      </w:r>
      <w:r>
        <w:rPr>
          <w:rFonts w:hint="eastAsia" w:ascii="仿宋_GB2312" w:eastAsia="仿宋_GB2312"/>
          <w:color w:val="auto"/>
          <w:sz w:val="32"/>
          <w:szCs w:val="32"/>
          <w:lang w:val="en-US" w:eastAsia="zh-CN"/>
        </w:rPr>
        <w:t>20</w:t>
      </w:r>
      <w:r>
        <w:rPr>
          <w:rFonts w:hint="eastAsia" w:ascii="仿宋_GB2312" w:eastAsia="仿宋_GB2312"/>
          <w:color w:val="auto"/>
          <w:sz w:val="32"/>
          <w:szCs w:val="32"/>
        </w:rPr>
        <w:t>万元，执行数为</w:t>
      </w:r>
      <w:r>
        <w:rPr>
          <w:rFonts w:hint="eastAsia" w:ascii="仿宋_GB2312" w:eastAsia="仿宋_GB2312"/>
          <w:color w:val="auto"/>
          <w:sz w:val="32"/>
          <w:szCs w:val="32"/>
          <w:lang w:val="en-US" w:eastAsia="zh-CN"/>
        </w:rPr>
        <w:t>20</w:t>
      </w:r>
      <w:r>
        <w:rPr>
          <w:rFonts w:hint="eastAsia" w:ascii="仿宋_GB2312" w:eastAsia="仿宋_GB2312"/>
          <w:color w:val="auto"/>
          <w:sz w:val="32"/>
          <w:szCs w:val="32"/>
        </w:rPr>
        <w:t>万元，完成预算的</w:t>
      </w:r>
      <w:r>
        <w:rPr>
          <w:rFonts w:hint="eastAsia" w:ascii="仿宋_GB2312" w:eastAsia="仿宋_GB2312"/>
          <w:color w:val="auto"/>
          <w:sz w:val="32"/>
          <w:szCs w:val="32"/>
          <w:lang w:val="en-US" w:eastAsia="zh-CN"/>
        </w:rPr>
        <w:t>100</w:t>
      </w:r>
      <w:r>
        <w:rPr>
          <w:rFonts w:hint="eastAsia" w:ascii="仿宋_GB2312" w:eastAsia="仿宋_GB2312"/>
          <w:color w:val="auto"/>
          <w:sz w:val="32"/>
          <w:szCs w:val="32"/>
        </w:rPr>
        <w:t>%。项目绩效目标完成情况：2024年县文联"少数民族事业发展专项资金”经费共计支出20万元，资金支出率100%，预算数20万元，全年执行数20万元，执行率100%。通过项目经费资助，以海南黎族苗族传统节日“三月三”节庆活动为契机，鼓励和引导广大文艺工作者创作展示更多思想精深、艺术精湛、制作精良的作品，体现海南雨林地区生态与人文融合之美，推动民族地区高质量发展，助力海南自由贸易港建设凝聚团结力量。项目完成质量良好。发现的主要问题及原因：</w:t>
      </w:r>
      <w:r>
        <w:rPr>
          <w:rFonts w:hint="eastAsia" w:ascii="仿宋_GB2312" w:eastAsia="仿宋_GB2312"/>
          <w:color w:val="auto"/>
          <w:sz w:val="32"/>
          <w:szCs w:val="32"/>
          <w:lang w:eastAsia="zh-CN"/>
        </w:rPr>
        <w:t>无；</w:t>
      </w:r>
      <w:r>
        <w:rPr>
          <w:rFonts w:hint="eastAsia" w:ascii="仿宋_GB2312" w:eastAsia="仿宋_GB2312"/>
          <w:color w:val="auto"/>
          <w:sz w:val="32"/>
          <w:szCs w:val="32"/>
        </w:rPr>
        <w:t>下一步改进措施：</w:t>
      </w:r>
      <w:r>
        <w:rPr>
          <w:rFonts w:hint="eastAsia" w:ascii="仿宋_GB2312" w:eastAsia="仿宋_GB2312"/>
          <w:color w:val="auto"/>
          <w:sz w:val="32"/>
          <w:szCs w:val="32"/>
          <w:lang w:eastAsia="zh-CN"/>
        </w:rPr>
        <w:t>无</w:t>
      </w:r>
      <w:r>
        <w:rPr>
          <w:rFonts w:hint="eastAsia" w:ascii="仿宋_GB2312" w:eastAsia="仿宋_GB2312"/>
          <w:color w:val="auto"/>
          <w:sz w:val="32"/>
          <w:szCs w:val="32"/>
        </w:rPr>
        <w:t>。</w:t>
      </w:r>
    </w:p>
    <w:p>
      <w:pPr>
        <w:numPr>
          <w:ilvl w:val="0"/>
          <w:numId w:val="0"/>
        </w:numPr>
        <w:spacing w:before="100" w:beforeAutospacing="1" w:after="100" w:afterAutospacing="1" w:line="580" w:lineRule="exact"/>
        <w:ind w:left="640" w:leftChars="0"/>
        <w:contextualSpacing/>
        <w:rPr>
          <w:rFonts w:hint="eastAsia" w:ascii="楷体" w:hAnsi="楷体" w:eastAsia="楷体"/>
          <w:color w:val="auto"/>
          <w:sz w:val="32"/>
          <w:szCs w:val="32"/>
        </w:rPr>
      </w:pPr>
      <w:r>
        <w:rPr>
          <w:rFonts w:hint="eastAsia" w:ascii="楷体" w:hAnsi="楷体" w:eastAsia="楷体"/>
          <w:color w:val="auto"/>
          <w:sz w:val="32"/>
          <w:szCs w:val="32"/>
          <w:lang w:eastAsia="zh-CN"/>
        </w:rPr>
        <w:t>（三）</w:t>
      </w:r>
      <w:r>
        <w:rPr>
          <w:rFonts w:hint="eastAsia" w:ascii="楷体" w:hAnsi="楷体" w:eastAsia="楷体"/>
          <w:color w:val="auto"/>
          <w:sz w:val="32"/>
          <w:szCs w:val="32"/>
        </w:rPr>
        <w:t>部门评价结果</w:t>
      </w:r>
      <w:r>
        <w:rPr>
          <w:rFonts w:hint="eastAsia" w:ascii="楷体" w:hAnsi="楷体" w:eastAsia="楷体"/>
          <w:color w:val="auto"/>
          <w:sz w:val="32"/>
          <w:szCs w:val="32"/>
          <w:lang w:eastAsia="zh-CN"/>
        </w:rPr>
        <w:t>：无</w:t>
      </w:r>
    </w:p>
    <w:p>
      <w:pPr>
        <w:numPr>
          <w:ilvl w:val="0"/>
          <w:numId w:val="0"/>
        </w:numPr>
        <w:spacing w:before="100" w:beforeAutospacing="1" w:after="100" w:afterAutospacing="1" w:line="580" w:lineRule="exact"/>
        <w:ind w:left="640" w:leftChars="0"/>
        <w:contextualSpacing/>
        <w:rPr>
          <w:color w:val="auto"/>
        </w:rPr>
      </w:pPr>
      <w:r>
        <w:rPr>
          <w:rFonts w:hint="eastAsia" w:ascii="楷体" w:hAnsi="楷体" w:eastAsia="楷体"/>
          <w:color w:val="auto"/>
          <w:sz w:val="32"/>
          <w:szCs w:val="32"/>
        </w:rPr>
        <w:t>（四）财政评价结果</w:t>
      </w:r>
      <w:r>
        <w:rPr>
          <w:rFonts w:hint="eastAsia" w:ascii="楷体" w:hAnsi="楷体" w:eastAsia="楷体"/>
          <w:color w:val="auto"/>
          <w:sz w:val="32"/>
          <w:szCs w:val="32"/>
          <w:lang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十一、其他重要事项情况说明</w:t>
      </w:r>
    </w:p>
    <w:p>
      <w:pPr>
        <w:spacing w:line="578" w:lineRule="exact"/>
        <w:ind w:firstLine="640" w:firstLineChars="200"/>
        <w:rPr>
          <w:rFonts w:hint="eastAsia" w:ascii="楷体" w:hAnsi="楷体" w:eastAsia="楷体" w:cs="楷体"/>
          <w:bCs/>
          <w:color w:val="auto"/>
          <w:sz w:val="32"/>
          <w:szCs w:val="32"/>
          <w:highlight w:val="none"/>
        </w:rPr>
      </w:pPr>
      <w:bookmarkStart w:id="97" w:name="_Toc5978_WPSOffice_Level2"/>
      <w:bookmarkStart w:id="98" w:name="_Toc32639_WPSOffice_Level2"/>
      <w:bookmarkStart w:id="99" w:name="_Toc23598_WPSOffice_Level2"/>
      <w:bookmarkStart w:id="100" w:name="_Toc15565_WPSOffice_Level2"/>
      <w:bookmarkStart w:id="101" w:name="_Toc18325_WPSOffice_Level2"/>
      <w:bookmarkStart w:id="102" w:name="_Toc15262_WPSOffice_Level2"/>
      <w:bookmarkStart w:id="103" w:name="_Toc15425_WPSOffice_Level1"/>
      <w:bookmarkStart w:id="104" w:name="_Toc17580_WPSOffice_Level1"/>
      <w:bookmarkStart w:id="105" w:name="_Toc8874_WPSOffice_Level1"/>
      <w:bookmarkStart w:id="106" w:name="_Toc11039_WPSOffice_Level1"/>
      <w:bookmarkStart w:id="107" w:name="_Toc8808_WPSOffice_Level1"/>
      <w:bookmarkStart w:id="108" w:name="_Toc4398_WPSOffice_Level1"/>
      <w:r>
        <w:rPr>
          <w:rFonts w:hint="eastAsia" w:ascii="楷体" w:hAnsi="楷体" w:eastAsia="楷体" w:cs="楷体"/>
          <w:bCs/>
          <w:color w:val="auto"/>
          <w:sz w:val="32"/>
          <w:szCs w:val="32"/>
          <w:highlight w:val="none"/>
        </w:rPr>
        <w:t>（一）机关运行经费支出情况。</w:t>
      </w:r>
      <w:bookmarkEnd w:id="97"/>
      <w:bookmarkEnd w:id="98"/>
      <w:bookmarkEnd w:id="99"/>
      <w:bookmarkEnd w:id="100"/>
      <w:bookmarkEnd w:id="101"/>
      <w:bookmarkEnd w:id="102"/>
    </w:p>
    <w:p>
      <w:pPr>
        <w:spacing w:line="520" w:lineRule="exact"/>
        <w:ind w:firstLine="800" w:firstLineChars="250"/>
        <w:rPr>
          <w:rFonts w:hint="eastAsia"/>
          <w:color w:val="auto"/>
        </w:rPr>
      </w:pPr>
      <w:r>
        <w:rPr>
          <w:rFonts w:hint="eastAsia" w:ascii="仿宋_GB2312" w:hAnsi="ˎ̥" w:eastAsia="仿宋_GB2312"/>
          <w:color w:val="auto"/>
          <w:sz w:val="32"/>
          <w:szCs w:val="32"/>
          <w:highlight w:val="none"/>
        </w:rPr>
        <w:t>202</w:t>
      </w:r>
      <w:r>
        <w:rPr>
          <w:rFonts w:hint="eastAsia" w:ascii="仿宋_GB2312" w:hAnsi="ˎ̥" w:eastAsia="仿宋_GB2312"/>
          <w:color w:val="auto"/>
          <w:sz w:val="32"/>
          <w:szCs w:val="32"/>
          <w:highlight w:val="none"/>
          <w:lang w:val="en-US" w:eastAsia="zh-CN"/>
        </w:rPr>
        <w:t>4</w:t>
      </w:r>
      <w:r>
        <w:rPr>
          <w:rFonts w:hint="eastAsia" w:ascii="仿宋_GB2312" w:hAnsi="ˎ̥" w:eastAsia="仿宋_GB2312"/>
          <w:color w:val="auto"/>
          <w:sz w:val="32"/>
          <w:szCs w:val="32"/>
          <w:highlight w:val="none"/>
        </w:rPr>
        <w:t>年度保亭县文联机关运行经费</w:t>
      </w:r>
      <w:r>
        <w:rPr>
          <w:rFonts w:hint="eastAsia" w:ascii="仿宋_GB2312" w:hAnsi="ˎ̥" w:eastAsia="仿宋_GB2312"/>
          <w:color w:val="auto"/>
          <w:sz w:val="32"/>
          <w:szCs w:val="32"/>
          <w:highlight w:val="none"/>
          <w:lang w:val="en-US" w:eastAsia="zh-CN"/>
        </w:rPr>
        <w:t>10.31</w:t>
      </w:r>
      <w:r>
        <w:rPr>
          <w:rFonts w:hint="eastAsia" w:ascii="仿宋_GB2312" w:hAnsi="ˎ̥" w:eastAsia="仿宋_GB2312"/>
          <w:color w:val="auto"/>
          <w:sz w:val="32"/>
          <w:szCs w:val="32"/>
          <w:highlight w:val="none"/>
        </w:rPr>
        <w:t>万元，比年初预算减少</w:t>
      </w:r>
      <w:r>
        <w:rPr>
          <w:rFonts w:hint="eastAsia" w:ascii="仿宋_GB2312" w:hAnsi="ˎ̥" w:eastAsia="仿宋_GB2312"/>
          <w:color w:val="auto"/>
          <w:sz w:val="32"/>
          <w:szCs w:val="32"/>
          <w:highlight w:val="none"/>
          <w:lang w:val="en-US" w:eastAsia="zh-CN"/>
        </w:rPr>
        <w:t>2.18</w:t>
      </w:r>
      <w:r>
        <w:rPr>
          <w:rFonts w:hint="eastAsia" w:ascii="仿宋_GB2312" w:hAnsi="ˎ̥" w:eastAsia="仿宋_GB2312"/>
          <w:color w:val="auto"/>
          <w:sz w:val="32"/>
          <w:szCs w:val="32"/>
          <w:highlight w:val="none"/>
        </w:rPr>
        <w:t>万元，降低</w:t>
      </w:r>
      <w:r>
        <w:rPr>
          <w:rFonts w:hint="eastAsia" w:ascii="仿宋_GB2312" w:hAnsi="ˎ̥" w:eastAsia="仿宋_GB2312"/>
          <w:color w:val="auto"/>
          <w:sz w:val="32"/>
          <w:szCs w:val="32"/>
          <w:highlight w:val="none"/>
          <w:lang w:val="en-US" w:eastAsia="zh-CN"/>
        </w:rPr>
        <w:t>17.45</w:t>
      </w:r>
      <w:r>
        <w:rPr>
          <w:rFonts w:hint="eastAsia" w:ascii="仿宋_GB2312" w:hAnsi="ˎ̥" w:eastAsia="仿宋_GB2312"/>
          <w:color w:val="auto"/>
          <w:sz w:val="32"/>
          <w:szCs w:val="32"/>
          <w:highlight w:val="none"/>
        </w:rPr>
        <w:t>%。</w:t>
      </w:r>
      <w:bookmarkStart w:id="109" w:name="_Toc13084_WPSOffice_Level2"/>
      <w:bookmarkStart w:id="110" w:name="_Toc25333_WPSOffice_Level2"/>
      <w:bookmarkStart w:id="111" w:name="_Toc30383_WPSOffice_Level2"/>
      <w:bookmarkStart w:id="112" w:name="_Toc3131_WPSOffice_Level2"/>
      <w:bookmarkStart w:id="113" w:name="_Toc23966_WPSOffice_Level2"/>
      <w:bookmarkStart w:id="114" w:name="_Toc32689_WPSOffice_Level2"/>
      <w:r>
        <w:rPr>
          <w:rFonts w:hint="eastAsia" w:ascii="仿宋_GB2312" w:hAnsi="ˎ̥" w:eastAsia="仿宋_GB2312"/>
          <w:color w:val="auto"/>
          <w:sz w:val="32"/>
          <w:szCs w:val="32"/>
        </w:rPr>
        <w:t>主要原因是：</w:t>
      </w:r>
      <w:r>
        <w:rPr>
          <w:rFonts w:hint="eastAsia" w:ascii="仿宋_GB2312" w:hAnsi="仿宋" w:eastAsia="仿宋_GB2312"/>
          <w:color w:val="auto"/>
          <w:sz w:val="32"/>
          <w:szCs w:val="32"/>
        </w:rPr>
        <w:t>加大落实过紧日子的政策，严格控制一般性支出</w:t>
      </w:r>
      <w:r>
        <w:rPr>
          <w:rFonts w:hint="eastAsia" w:ascii="仿宋_GB2312" w:hAnsi="仿宋" w:eastAsia="仿宋_GB2312"/>
          <w:color w:val="auto"/>
          <w:sz w:val="32"/>
          <w:szCs w:val="32"/>
          <w:lang w:eastAsia="zh-CN"/>
        </w:rPr>
        <w:t>等</w:t>
      </w:r>
      <w:r>
        <w:rPr>
          <w:rFonts w:hint="eastAsia" w:ascii="仿宋_GB2312" w:hAnsi="仿宋" w:eastAsia="仿宋_GB2312"/>
          <w:color w:val="auto"/>
          <w:sz w:val="32"/>
          <w:szCs w:val="32"/>
        </w:rPr>
        <w:t>。</w:t>
      </w:r>
    </w:p>
    <w:p>
      <w:pPr>
        <w:spacing w:line="578" w:lineRule="exact"/>
        <w:rPr>
          <w:rFonts w:hint="eastAsia" w:ascii="楷体" w:hAnsi="楷体" w:eastAsia="楷体" w:cs="楷体"/>
          <w:bCs/>
          <w:color w:val="auto"/>
          <w:sz w:val="32"/>
          <w:szCs w:val="32"/>
        </w:rPr>
      </w:pPr>
      <w:r>
        <w:rPr>
          <w:rFonts w:hint="eastAsia" w:ascii="楷体" w:hAnsi="楷体" w:eastAsia="楷体" w:cs="楷体"/>
          <w:bCs/>
          <w:color w:val="auto"/>
          <w:sz w:val="32"/>
          <w:szCs w:val="32"/>
        </w:rPr>
        <w:t>（二）政府采购支出情况。</w:t>
      </w:r>
      <w:bookmarkEnd w:id="109"/>
      <w:bookmarkEnd w:id="110"/>
      <w:bookmarkEnd w:id="111"/>
      <w:bookmarkEnd w:id="112"/>
      <w:bookmarkEnd w:id="113"/>
      <w:bookmarkEnd w:id="114"/>
    </w:p>
    <w:p>
      <w:pPr>
        <w:spacing w:line="578" w:lineRule="exact"/>
        <w:ind w:firstLine="640" w:firstLineChars="200"/>
        <w:jc w:val="left"/>
        <w:rPr>
          <w:rFonts w:hint="eastAsia" w:ascii="仿宋_GB2312" w:hAnsi="ˎ̥" w:eastAsia="仿宋_GB2312"/>
          <w:color w:val="auto"/>
          <w:sz w:val="32"/>
          <w:szCs w:val="32"/>
        </w:rPr>
      </w:pPr>
      <w:r>
        <w:rPr>
          <w:rFonts w:hint="eastAsia" w:ascii="仿宋_GB2312" w:hAnsi="ˎ̥" w:eastAsia="仿宋_GB2312"/>
          <w:color w:val="auto"/>
          <w:sz w:val="32"/>
          <w:szCs w:val="32"/>
        </w:rPr>
        <w:t>202</w:t>
      </w:r>
      <w:r>
        <w:rPr>
          <w:rFonts w:hint="eastAsia" w:ascii="仿宋_GB2312" w:hAnsi="ˎ̥" w:eastAsia="仿宋_GB2312"/>
          <w:color w:val="auto"/>
          <w:sz w:val="32"/>
          <w:szCs w:val="32"/>
          <w:lang w:val="en-US" w:eastAsia="zh-CN"/>
        </w:rPr>
        <w:t>4</w:t>
      </w:r>
      <w:r>
        <w:rPr>
          <w:rFonts w:hint="eastAsia" w:ascii="仿宋_GB2312" w:hAnsi="ˎ̥" w:eastAsia="仿宋_GB2312"/>
          <w:color w:val="auto"/>
          <w:sz w:val="32"/>
          <w:szCs w:val="32"/>
        </w:rPr>
        <w:t>年度保亭县文联政府采购支出总额</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万元，其中：政府采购货物支出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万元、政府采购工程支出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万元、政府采购服务支出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万元。授予中小企业合同金额</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万元，占政府采购支出总额的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%，其中：授予小微企业合同金额</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万元，占</w:t>
      </w:r>
      <w:r>
        <w:rPr>
          <w:rFonts w:hint="eastAsia" w:ascii="仿宋_GB2312" w:hAnsi="仿宋_GB2312" w:eastAsia="仿宋_GB2312" w:cs="仿宋_GB2312"/>
          <w:color w:val="auto"/>
          <w:kern w:val="0"/>
          <w:sz w:val="32"/>
          <w:szCs w:val="32"/>
          <w:lang w:bidi="ar"/>
        </w:rPr>
        <w:t>授予中小企业合同金额</w:t>
      </w:r>
      <w:r>
        <w:rPr>
          <w:rFonts w:hint="eastAsia" w:ascii="仿宋_GB2312" w:hAnsi="仿宋_GB2312" w:eastAsia="仿宋_GB2312" w:cs="仿宋_GB2312"/>
          <w:color w:val="auto"/>
          <w:sz w:val="32"/>
          <w:szCs w:val="32"/>
        </w:rPr>
        <w:t>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spacing w:line="578" w:lineRule="exact"/>
        <w:ind w:firstLine="640" w:firstLineChars="200"/>
        <w:rPr>
          <w:rFonts w:hint="eastAsia" w:ascii="楷体" w:hAnsi="楷体" w:eastAsia="楷体" w:cs="楷体"/>
          <w:bCs/>
          <w:color w:val="auto"/>
          <w:sz w:val="32"/>
          <w:szCs w:val="32"/>
        </w:rPr>
      </w:pPr>
      <w:bookmarkStart w:id="115" w:name="_Toc527_WPSOffice_Level2"/>
      <w:bookmarkStart w:id="116" w:name="_Toc10902_WPSOffice_Level2"/>
      <w:bookmarkStart w:id="117" w:name="_Toc29584_WPSOffice_Level2"/>
      <w:bookmarkStart w:id="118" w:name="_Toc19989_WPSOffice_Level2"/>
      <w:bookmarkStart w:id="119" w:name="_Toc15129_WPSOffice_Level2"/>
      <w:bookmarkStart w:id="120" w:name="_Toc6016_WPSOffice_Level2"/>
      <w:r>
        <w:rPr>
          <w:rFonts w:hint="eastAsia" w:ascii="楷体" w:hAnsi="楷体" w:eastAsia="楷体" w:cs="楷体"/>
          <w:bCs/>
          <w:color w:val="auto"/>
          <w:sz w:val="32"/>
          <w:szCs w:val="32"/>
        </w:rPr>
        <w:t>（三）国有资产占用情况。</w:t>
      </w:r>
      <w:bookmarkEnd w:id="115"/>
      <w:bookmarkEnd w:id="116"/>
      <w:bookmarkEnd w:id="117"/>
      <w:bookmarkEnd w:id="118"/>
      <w:bookmarkEnd w:id="119"/>
      <w:bookmarkEnd w:id="120"/>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bCs/>
          <w:color w:val="auto"/>
          <w:sz w:val="32"/>
          <w:szCs w:val="32"/>
        </w:rPr>
        <w:t>截至20</w:t>
      </w:r>
      <w:r>
        <w:rPr>
          <w:rFonts w:hint="eastAsia" w:ascii="仿宋_GB2312" w:hAnsi="ˎ̥" w:eastAsia="仿宋_GB2312"/>
          <w:bCs/>
          <w:color w:val="auto"/>
          <w:sz w:val="32"/>
          <w:szCs w:val="32"/>
          <w:lang w:val="en-US" w:eastAsia="zh-CN"/>
        </w:rPr>
        <w:t>24</w:t>
      </w:r>
      <w:r>
        <w:rPr>
          <w:rFonts w:hint="eastAsia" w:ascii="仿宋_GB2312" w:hAnsi="ˎ̥" w:eastAsia="仿宋_GB2312"/>
          <w:bCs/>
          <w:color w:val="auto"/>
          <w:sz w:val="32"/>
          <w:szCs w:val="32"/>
        </w:rPr>
        <w:t>年12月31日，本部门拥有</w:t>
      </w:r>
      <w:r>
        <w:rPr>
          <w:rFonts w:hint="eastAsia" w:ascii="仿宋_GB2312" w:hAnsi="ˎ̥" w:eastAsia="仿宋_GB2312"/>
          <w:color w:val="auto"/>
          <w:sz w:val="32"/>
          <w:szCs w:val="32"/>
        </w:rPr>
        <w:t>房屋面积</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平方米，其中：办公用房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平方米，业务用房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平方米，其他（不含构筑物）</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平方米。</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本部门共有车辆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辆，其中，副部（省）级及以上领导用车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辆、主要负责人用车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辆、机要通信用车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辆、应急保障用车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辆、执法执勤用车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辆、特种专业技术用车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辆、离退休干部服务用车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辆、其他用车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辆，其他用车主要是</w:t>
      </w:r>
      <w:r>
        <w:rPr>
          <w:rFonts w:hint="eastAsia" w:ascii="仿宋_GB2312" w:hAnsi="ˎ̥" w:eastAsia="仿宋_GB2312"/>
          <w:color w:val="auto"/>
          <w:sz w:val="32"/>
          <w:szCs w:val="32"/>
          <w:lang w:eastAsia="zh-CN"/>
        </w:rPr>
        <w:t>无</w:t>
      </w:r>
      <w:r>
        <w:rPr>
          <w:rFonts w:hint="eastAsia" w:ascii="仿宋_GB2312" w:hAnsi="ˎ̥" w:eastAsia="仿宋_GB2312"/>
          <w:color w:val="auto"/>
          <w:sz w:val="32"/>
          <w:szCs w:val="32"/>
        </w:rPr>
        <w:t>。单价100万元（含）以上设备（不含车辆）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台（套）。</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年末在建工程</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r>
        <w:rPr>
          <w:rFonts w:hint="eastAsia" w:ascii="黑体" w:hAnsi="ˎ̥" w:eastAsia="黑体"/>
          <w:color w:val="auto"/>
          <w:sz w:val="32"/>
          <w:szCs w:val="32"/>
        </w:rPr>
        <w:t>第四部分  名词解释</w:t>
      </w:r>
      <w:bookmarkEnd w:id="103"/>
      <w:bookmarkEnd w:id="104"/>
      <w:bookmarkEnd w:id="105"/>
      <w:bookmarkEnd w:id="106"/>
      <w:bookmarkEnd w:id="107"/>
      <w:bookmarkEnd w:id="108"/>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p>
    <w:p>
      <w:pPr>
        <w:keepNext w:val="0"/>
        <w:keepLines w:val="0"/>
        <w:pageBreakBefore w:val="0"/>
        <w:widowControl w:val="0"/>
        <w:numPr>
          <w:ilvl w:val="0"/>
          <w:numId w:val="6"/>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auto"/>
          <w:sz w:val="32"/>
          <w:szCs w:val="32"/>
        </w:rPr>
      </w:pPr>
      <w:r>
        <w:rPr>
          <w:rFonts w:hint="eastAsia" w:ascii="仿宋_GB2312" w:hAnsi="ˎ̥" w:eastAsia="仿宋_GB2312"/>
          <w:color w:val="auto"/>
          <w:sz w:val="32"/>
          <w:szCs w:val="32"/>
        </w:rPr>
        <w:t>十六、</w:t>
      </w:r>
      <w:r>
        <w:rPr>
          <w:rFonts w:ascii="仿宋_GB2312" w:hAnsi="ˎ̥" w:eastAsia="仿宋_GB2312"/>
          <w:color w:val="auto"/>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color w:val="auto"/>
          <w:sz w:val="32"/>
          <w:szCs w:val="32"/>
          <w:lang w:eastAsia="zh-CN"/>
        </w:rPr>
      </w:pPr>
      <w:r>
        <w:rPr>
          <w:rFonts w:hint="eastAsia" w:ascii="仿宋_GB2312" w:hAnsi="ˎ̥" w:eastAsia="仿宋_GB2312"/>
          <w:color w:val="auto"/>
          <w:sz w:val="32"/>
          <w:szCs w:val="32"/>
        </w:rPr>
        <w:t>1.一般公共服务</w:t>
      </w:r>
      <w:r>
        <w:rPr>
          <w:rFonts w:hint="eastAsia" w:ascii="仿宋_GB2312" w:hAnsi="ˎ̥" w:eastAsia="仿宋_GB2312"/>
          <w:color w:val="auto"/>
          <w:sz w:val="32"/>
          <w:szCs w:val="32"/>
          <w:lang w:eastAsia="zh-CN"/>
        </w:rPr>
        <w:t>支出</w:t>
      </w:r>
      <w:r>
        <w:rPr>
          <w:rFonts w:hint="eastAsia" w:ascii="仿宋_GB2312" w:hAnsi="ˎ̥" w:eastAsia="仿宋_GB2312"/>
          <w:color w:val="auto"/>
          <w:sz w:val="32"/>
          <w:szCs w:val="32"/>
        </w:rPr>
        <w:t>（类）民族事务（款）其他民族事务支出（项）</w:t>
      </w:r>
      <w:r>
        <w:rPr>
          <w:rFonts w:hint="eastAsia" w:ascii="仿宋_GB2312" w:hAnsi="ˎ̥" w:eastAsia="仿宋_GB2312"/>
          <w:color w:val="auto"/>
          <w:sz w:val="32"/>
          <w:szCs w:val="32"/>
          <w:lang w:eastAsia="zh-CN"/>
        </w:rPr>
        <w:t>反映文化活动其他一般公共服务支出。</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color w:val="auto"/>
          <w:sz w:val="32"/>
          <w:szCs w:val="32"/>
          <w:lang w:eastAsia="zh-CN"/>
        </w:rPr>
      </w:pPr>
      <w:r>
        <w:rPr>
          <w:rFonts w:hint="eastAsia" w:ascii="仿宋_GB2312" w:hAnsi="ˎ̥" w:eastAsia="仿宋_GB2312"/>
          <w:color w:val="auto"/>
          <w:sz w:val="32"/>
          <w:szCs w:val="32"/>
          <w:lang w:val="en-US" w:eastAsia="zh-CN"/>
        </w:rPr>
        <w:t>2</w:t>
      </w:r>
      <w:r>
        <w:rPr>
          <w:rFonts w:hint="eastAsia" w:ascii="仿宋_GB2312" w:hAnsi="ˎ̥" w:eastAsia="仿宋_GB2312"/>
          <w:color w:val="auto"/>
          <w:sz w:val="32"/>
          <w:szCs w:val="32"/>
        </w:rPr>
        <w:t>.文化旅游体育与传媒支出（类）文化和旅游（款）行政运行（项）</w:t>
      </w:r>
      <w:r>
        <w:rPr>
          <w:rFonts w:hint="eastAsia" w:ascii="仿宋_GB2312" w:hAnsi="ˎ̥" w:eastAsia="仿宋_GB2312"/>
          <w:color w:val="auto"/>
          <w:sz w:val="32"/>
          <w:szCs w:val="32"/>
          <w:lang w:eastAsia="zh-CN"/>
        </w:rPr>
        <w:t>反映行政单位（包括实行公务员管理的事业单位）的基本支出。</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color w:val="auto"/>
          <w:sz w:val="32"/>
          <w:szCs w:val="32"/>
        </w:rPr>
      </w:pP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.文化旅游体育与传媒支出（类）文化和旅游（款）一般行政管理事务</w:t>
      </w:r>
      <w:r>
        <w:rPr>
          <w:rFonts w:hint="eastAsia" w:ascii="仿宋_GB2312" w:hAnsi="ˎ̥" w:eastAsia="仿宋_GB2312"/>
          <w:color w:val="auto"/>
          <w:sz w:val="32"/>
          <w:szCs w:val="32"/>
          <w:lang w:eastAsia="zh-CN"/>
        </w:rPr>
        <w:t>（项）反映文化和旅游管理事务支出</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color w:val="auto"/>
          <w:sz w:val="32"/>
          <w:szCs w:val="32"/>
        </w:rPr>
      </w:pPr>
      <w:r>
        <w:rPr>
          <w:rFonts w:hint="eastAsia" w:ascii="仿宋_GB2312" w:hAnsi="ˎ̥" w:eastAsia="仿宋_GB2312"/>
          <w:color w:val="auto"/>
          <w:sz w:val="32"/>
          <w:szCs w:val="32"/>
          <w:lang w:val="en-US" w:eastAsia="zh-CN"/>
        </w:rPr>
        <w:t>4</w:t>
      </w:r>
      <w:r>
        <w:rPr>
          <w:rFonts w:hint="eastAsia" w:ascii="仿宋_GB2312" w:hAnsi="ˎ̥" w:eastAsia="仿宋_GB2312"/>
          <w:color w:val="auto"/>
          <w:sz w:val="32"/>
          <w:szCs w:val="32"/>
        </w:rPr>
        <w:t>.文化旅游体育与传媒支出（类）文化和旅游（款）文化和旅游交流与合作（项）</w:t>
      </w:r>
      <w:r>
        <w:rPr>
          <w:rFonts w:hint="eastAsia" w:ascii="仿宋_GB2312" w:hAnsi="ˎ̥" w:eastAsia="仿宋_GB2312"/>
          <w:color w:val="auto"/>
          <w:sz w:val="32"/>
          <w:szCs w:val="32"/>
          <w:lang w:eastAsia="zh-CN"/>
        </w:rPr>
        <w:t>反映对外文化和旅游交流合作活动的支出和举办大型文化艺术活动的支出</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5"/>
        <w:jc w:val="both"/>
        <w:textAlignment w:val="auto"/>
        <w:rPr>
          <w:rFonts w:hint="eastAsia" w:ascii="仿宋_GB2312" w:hAnsi="ˎ̥" w:eastAsia="仿宋_GB2312"/>
          <w:color w:val="auto"/>
          <w:sz w:val="32"/>
          <w:szCs w:val="32"/>
        </w:rPr>
      </w:pPr>
      <w:r>
        <w:rPr>
          <w:rFonts w:hint="eastAsia" w:ascii="仿宋_GB2312" w:hAnsi="ˎ̥" w:eastAsia="仿宋_GB2312"/>
          <w:color w:val="auto"/>
          <w:sz w:val="32"/>
          <w:szCs w:val="32"/>
          <w:lang w:val="en-US" w:eastAsia="zh-CN"/>
        </w:rPr>
        <w:t>5</w:t>
      </w:r>
      <w:r>
        <w:rPr>
          <w:rFonts w:hint="eastAsia" w:ascii="仿宋_GB2312" w:hAnsi="ˎ̥" w:eastAsia="仿宋_GB2312"/>
          <w:color w:val="auto"/>
          <w:sz w:val="32"/>
          <w:szCs w:val="32"/>
        </w:rPr>
        <w:t>.社会保障和就业支出（类）行政事业单位养老支出（款）机关事业单位基本养老保险缴费支出（项）</w:t>
      </w:r>
      <w:r>
        <w:rPr>
          <w:rFonts w:hint="eastAsia" w:ascii="仿宋_GB2312" w:hAnsi="ˎ̥" w:eastAsia="仿宋_GB2312"/>
          <w:color w:val="auto"/>
          <w:sz w:val="32"/>
          <w:szCs w:val="32"/>
          <w:lang w:val="en-US" w:eastAsia="zh-CN"/>
        </w:rPr>
        <w:t>反映机关事业单位实施养老保险制度由单位缴纳的基本养老保险费支出。</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color w:val="auto"/>
          <w:sz w:val="32"/>
          <w:szCs w:val="32"/>
        </w:rPr>
      </w:pPr>
      <w:r>
        <w:rPr>
          <w:rFonts w:hint="eastAsia" w:ascii="仿宋_GB2312" w:hAnsi="ˎ̥" w:eastAsia="仿宋_GB2312"/>
          <w:color w:val="auto"/>
          <w:sz w:val="32"/>
          <w:szCs w:val="32"/>
          <w:lang w:val="en-US" w:eastAsia="zh-CN"/>
        </w:rPr>
        <w:t>6</w:t>
      </w:r>
      <w:r>
        <w:rPr>
          <w:rFonts w:hint="eastAsia" w:ascii="仿宋_GB2312" w:hAnsi="ˎ̥" w:eastAsia="仿宋_GB2312"/>
          <w:color w:val="auto"/>
          <w:sz w:val="32"/>
          <w:szCs w:val="32"/>
        </w:rPr>
        <w:t>.社会保障和就业支出（类）行政事业单位养老支出（款）机关事业单位职业年金缴费支出（项）</w:t>
      </w:r>
      <w:r>
        <w:rPr>
          <w:rFonts w:hint="eastAsia" w:ascii="仿宋_GB2312" w:hAnsi="ˎ̥" w:eastAsia="仿宋_GB2312"/>
          <w:color w:val="auto"/>
          <w:sz w:val="32"/>
          <w:szCs w:val="32"/>
          <w:lang w:val="en-US" w:eastAsia="zh-CN"/>
        </w:rPr>
        <w:t>反映机关事业单位实施养老保险制度由单位缴纳的职业年金支出</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color w:val="auto"/>
          <w:sz w:val="32"/>
          <w:szCs w:val="32"/>
        </w:rPr>
      </w:pPr>
      <w:r>
        <w:rPr>
          <w:rFonts w:hint="eastAsia" w:ascii="仿宋_GB2312" w:hAnsi="ˎ̥" w:eastAsia="仿宋_GB2312"/>
          <w:color w:val="auto"/>
          <w:sz w:val="32"/>
          <w:szCs w:val="32"/>
          <w:lang w:val="en-US" w:eastAsia="zh-CN"/>
        </w:rPr>
        <w:t>7</w:t>
      </w:r>
      <w:r>
        <w:rPr>
          <w:rFonts w:hint="eastAsia" w:ascii="仿宋_GB2312" w:hAnsi="ˎ̥" w:eastAsia="仿宋_GB2312"/>
          <w:color w:val="auto"/>
          <w:sz w:val="32"/>
          <w:szCs w:val="32"/>
        </w:rPr>
        <w:t>.卫生健康支出（类）行政事业单位医疗（款）行政单位医疗（项）</w:t>
      </w:r>
      <w:r>
        <w:rPr>
          <w:rFonts w:hint="eastAsia" w:ascii="仿宋_GB2312" w:hAnsi="ˎ̥" w:eastAsia="仿宋_GB2312"/>
          <w:b w:val="0"/>
          <w:bCs w:val="0"/>
          <w:color w:val="auto"/>
          <w:sz w:val="32"/>
          <w:szCs w:val="32"/>
          <w:lang w:val="en-US" w:eastAsia="zh-CN"/>
        </w:rPr>
        <w:t>反映国有资产监督管理的行政事业单位基本医疗保险缴费经费</w:t>
      </w:r>
      <w:r>
        <w:rPr>
          <w:rFonts w:hint="eastAsia" w:ascii="仿宋_GB2312" w:hAnsi="ˎ̥" w:eastAsia="仿宋_GB2312"/>
          <w:b w:val="0"/>
          <w:bCs w:val="0"/>
          <w:color w:val="auto"/>
          <w:sz w:val="32"/>
          <w:szCs w:val="32"/>
          <w:lang w:eastAsia="zh-CN"/>
        </w:rPr>
        <w:t>支出。</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ˎ̥" w:eastAsia="仿宋_GB2312"/>
          <w:b w:val="0"/>
          <w:bCs w:val="0"/>
          <w:color w:val="auto"/>
          <w:sz w:val="32"/>
          <w:szCs w:val="32"/>
          <w:lang w:val="en-US" w:eastAsia="zh-CN"/>
        </w:rPr>
      </w:pPr>
      <w:r>
        <w:rPr>
          <w:rFonts w:hint="eastAsia" w:ascii="仿宋_GB2312" w:hAnsi="ˎ̥" w:eastAsia="仿宋_GB2312"/>
          <w:color w:val="auto"/>
          <w:sz w:val="32"/>
          <w:szCs w:val="32"/>
          <w:lang w:val="en-US" w:eastAsia="zh-CN"/>
        </w:rPr>
        <w:t>8.</w:t>
      </w:r>
      <w:r>
        <w:rPr>
          <w:rFonts w:hint="eastAsia" w:ascii="仿宋_GB2312" w:hAnsi="ˎ̥" w:eastAsia="仿宋_GB2312"/>
          <w:color w:val="auto"/>
          <w:sz w:val="32"/>
          <w:szCs w:val="32"/>
        </w:rPr>
        <w:t>卫生健康支出（类）行政事业单位医疗（款）公务员医疗补助（项）</w:t>
      </w:r>
      <w:r>
        <w:rPr>
          <w:rFonts w:hint="eastAsia" w:ascii="仿宋_GB2312" w:hAnsi="ˎ̥" w:eastAsia="仿宋_GB2312"/>
          <w:b w:val="0"/>
          <w:bCs w:val="0"/>
          <w:color w:val="auto"/>
          <w:sz w:val="32"/>
          <w:szCs w:val="32"/>
          <w:lang w:val="en-US" w:eastAsia="zh-CN"/>
        </w:rPr>
        <w:t>反映国有资产监督管理的行政事业单位公务员医疗补助</w:t>
      </w:r>
      <w:r>
        <w:rPr>
          <w:rFonts w:hint="eastAsia" w:ascii="仿宋_GB2312" w:hAnsi="ˎ̥" w:eastAsia="仿宋_GB2312"/>
          <w:b w:val="0"/>
          <w:bCs w:val="0"/>
          <w:color w:val="auto"/>
          <w:sz w:val="32"/>
          <w:szCs w:val="32"/>
          <w:lang w:eastAsia="zh-CN"/>
        </w:rPr>
        <w:t>支出</w:t>
      </w:r>
      <w:r>
        <w:rPr>
          <w:rFonts w:hint="eastAsia" w:ascii="仿宋_GB2312" w:hAnsi="ˎ̥" w:eastAsia="仿宋_GB2312"/>
          <w:b w:val="0"/>
          <w:bCs w:val="0"/>
          <w:color w:val="auto"/>
          <w:sz w:val="32"/>
          <w:szCs w:val="32"/>
        </w:rPr>
        <w:t>。</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ˎ̥" w:eastAsia="仿宋_GB2312"/>
          <w:color w:val="auto"/>
          <w:sz w:val="32"/>
          <w:szCs w:val="32"/>
        </w:rPr>
      </w:pPr>
      <w:r>
        <w:rPr>
          <w:rFonts w:hint="eastAsia" w:ascii="仿宋_GB2312" w:hAnsi="ˎ̥" w:eastAsia="仿宋_GB2312"/>
          <w:color w:val="auto"/>
          <w:sz w:val="32"/>
          <w:szCs w:val="32"/>
          <w:lang w:val="en-US" w:eastAsia="zh-CN"/>
        </w:rPr>
        <w:t>9</w:t>
      </w:r>
      <w:r>
        <w:rPr>
          <w:rFonts w:hint="eastAsia" w:ascii="仿宋_GB2312" w:hAnsi="ˎ̥" w:eastAsia="仿宋_GB2312"/>
          <w:color w:val="auto"/>
          <w:sz w:val="32"/>
          <w:szCs w:val="32"/>
        </w:rPr>
        <w:t>.农林水支出(类)巩固脱贫攻坚成果衔接乡村振兴（款）其他巩固脱贫攻坚成果衔接乡村振兴支出（项）</w:t>
      </w:r>
      <w:r>
        <w:rPr>
          <w:rFonts w:hint="eastAsia" w:ascii="仿宋_GB2312" w:hAnsi="ˎ̥" w:eastAsia="仿宋_GB2312"/>
          <w:color w:val="auto"/>
          <w:sz w:val="32"/>
          <w:szCs w:val="32"/>
          <w:lang w:eastAsia="zh-CN"/>
        </w:rPr>
        <w:t>反映除上述项目以外其他用于巩固拓展脱贫攻坚成果同乡村振兴有效衔接方面的支出。</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1</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.住房保障支出（类）住房改革支出（款）住房公积金（项）</w:t>
      </w:r>
      <w:r>
        <w:rPr>
          <w:rFonts w:hint="eastAsia" w:ascii="仿宋_GB2312" w:hAnsi="ˎ̥" w:eastAsia="仿宋_GB2312"/>
          <w:b w:val="0"/>
          <w:bCs w:val="0"/>
          <w:color w:val="auto"/>
          <w:sz w:val="32"/>
          <w:szCs w:val="32"/>
          <w:lang w:val="en-US" w:eastAsia="zh-CN"/>
        </w:rPr>
        <w:t>反映行政事业单位工资和津贴补贴以及规定比例为职工缴纳的住房公积金。</w:t>
      </w:r>
      <w:bookmarkStart w:id="121" w:name="_GoBack"/>
      <w:bookmarkEnd w:id="121"/>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3"/>
      </w:rPr>
    </w:pPr>
    <w:r>
      <w:fldChar w:fldCharType="begin"/>
    </w:r>
    <w:r>
      <w:rPr>
        <w:rStyle w:val="13"/>
      </w:rPr>
      <w:instrText xml:space="preserve">PAGE  </w:instrText>
    </w:r>
    <w:r>
      <w:fldChar w:fldCharType="separate"/>
    </w:r>
    <w:r>
      <w:rPr>
        <w:rStyle w:val="13"/>
      </w:rPr>
      <w:t>18</w:t>
    </w:r>
    <w:r>
      <w:fldChar w:fldCharType="end"/>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3"/>
      </w:rPr>
    </w:pPr>
    <w:r>
      <w:fldChar w:fldCharType="begin"/>
    </w:r>
    <w:r>
      <w:rPr>
        <w:rStyle w:val="13"/>
      </w:rPr>
      <w:instrText xml:space="preserve">PAGE  </w:instrText>
    </w:r>
    <w:r>
      <w:fldChar w:fldCharType="separate"/>
    </w:r>
    <w: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209383"/>
    <w:multiLevelType w:val="singleLevel"/>
    <w:tmpl w:val="8A209383"/>
    <w:lvl w:ilvl="0" w:tentative="0">
      <w:start w:val="1"/>
      <w:numFmt w:val="chineseCounting"/>
      <w:suff w:val="nothing"/>
      <w:lvlText w:val="%1、"/>
      <w:lvlJc w:val="left"/>
      <w:pPr>
        <w:ind w:left="-10"/>
      </w:pPr>
      <w:rPr>
        <w:rFonts w:hint="eastAsia"/>
      </w:rPr>
    </w:lvl>
  </w:abstractNum>
  <w:abstractNum w:abstractNumId="1">
    <w:nsid w:val="9750644F"/>
    <w:multiLevelType w:val="singleLevel"/>
    <w:tmpl w:val="9750644F"/>
    <w:lvl w:ilvl="0" w:tentative="0">
      <w:start w:val="1"/>
      <w:numFmt w:val="decimal"/>
      <w:suff w:val="space"/>
      <w:lvlText w:val="%1."/>
      <w:lvlJc w:val="left"/>
    </w:lvl>
  </w:abstractNum>
  <w:abstractNum w:abstractNumId="2">
    <w:nsid w:val="AFFC2DCC"/>
    <w:multiLevelType w:val="singleLevel"/>
    <w:tmpl w:val="AFFC2DCC"/>
    <w:lvl w:ilvl="0" w:tentative="0">
      <w:start w:val="1"/>
      <w:numFmt w:val="chineseCounting"/>
      <w:suff w:val="nothing"/>
      <w:lvlText w:val="%1、"/>
      <w:lvlJc w:val="left"/>
      <w:rPr>
        <w:rFonts w:hint="eastAsia"/>
      </w:rPr>
    </w:lvl>
  </w:abstractNum>
  <w:abstractNum w:abstractNumId="3">
    <w:nsid w:val="FA3FF581"/>
    <w:multiLevelType w:val="singleLevel"/>
    <w:tmpl w:val="FA3FF581"/>
    <w:lvl w:ilvl="0" w:tentative="0">
      <w:start w:val="2"/>
      <w:numFmt w:val="chineseCounting"/>
      <w:suff w:val="nothing"/>
      <w:lvlText w:val="（%1）"/>
      <w:lvlJc w:val="left"/>
      <w:rPr>
        <w:rFonts w:hint="eastAsia"/>
      </w:rPr>
    </w:lvl>
  </w:abstractNum>
  <w:abstractNum w:abstractNumId="4">
    <w:nsid w:val="0F5B0B39"/>
    <w:multiLevelType w:val="singleLevel"/>
    <w:tmpl w:val="0F5B0B39"/>
    <w:lvl w:ilvl="0" w:tentative="0">
      <w:start w:val="1"/>
      <w:numFmt w:val="chineseCounting"/>
      <w:suff w:val="nothing"/>
      <w:lvlText w:val="%1、"/>
      <w:lvlJc w:val="left"/>
      <w:rPr>
        <w:rFonts w:hint="eastAsia"/>
      </w:rPr>
    </w:lvl>
  </w:abstractNum>
  <w:abstractNum w:abstractNumId="5">
    <w:nsid w:val="72109F8D"/>
    <w:multiLevelType w:val="singleLevel"/>
    <w:tmpl w:val="72109F8D"/>
    <w:lvl w:ilvl="0" w:tentative="0">
      <w:start w:val="7"/>
      <w:numFmt w:val="chineseCounting"/>
      <w:suff w:val="nothing"/>
      <w:lvlText w:val="%1、"/>
      <w:lvlJc w:val="left"/>
      <w:rPr>
        <w:rFonts w:hint="eastAsia"/>
      </w:rPr>
    </w:lvl>
  </w:abstractNum>
  <w:num w:numId="1">
    <w:abstractNumId w:val="5"/>
  </w:num>
  <w:num w:numId="2">
    <w:abstractNumId w:val="4"/>
  </w:num>
  <w:num w:numId="3">
    <w:abstractNumId w:val="0"/>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23D0AD0"/>
    <w:rsid w:val="033643CA"/>
    <w:rsid w:val="0478689E"/>
    <w:rsid w:val="054E2D1E"/>
    <w:rsid w:val="05ED24BC"/>
    <w:rsid w:val="07F51480"/>
    <w:rsid w:val="09201287"/>
    <w:rsid w:val="09CB6C98"/>
    <w:rsid w:val="0A430D35"/>
    <w:rsid w:val="0FC80124"/>
    <w:rsid w:val="1005767B"/>
    <w:rsid w:val="11D21BED"/>
    <w:rsid w:val="136F98C7"/>
    <w:rsid w:val="152809B9"/>
    <w:rsid w:val="17427E68"/>
    <w:rsid w:val="1755065F"/>
    <w:rsid w:val="17841DE1"/>
    <w:rsid w:val="17AD1AA7"/>
    <w:rsid w:val="18207FAE"/>
    <w:rsid w:val="183A36A7"/>
    <w:rsid w:val="18E3668B"/>
    <w:rsid w:val="1A776239"/>
    <w:rsid w:val="1AFC29C9"/>
    <w:rsid w:val="1BA215A5"/>
    <w:rsid w:val="1CA52F2E"/>
    <w:rsid w:val="1D544005"/>
    <w:rsid w:val="1E3630B9"/>
    <w:rsid w:val="22A97D3C"/>
    <w:rsid w:val="23806FC0"/>
    <w:rsid w:val="24553711"/>
    <w:rsid w:val="24FE4F0F"/>
    <w:rsid w:val="254424B5"/>
    <w:rsid w:val="25552AB5"/>
    <w:rsid w:val="26EEC2B5"/>
    <w:rsid w:val="280D03B0"/>
    <w:rsid w:val="29472309"/>
    <w:rsid w:val="2A4C0D4E"/>
    <w:rsid w:val="2A815190"/>
    <w:rsid w:val="2B406E77"/>
    <w:rsid w:val="2C2A0C43"/>
    <w:rsid w:val="2D1E73A5"/>
    <w:rsid w:val="2FB129A6"/>
    <w:rsid w:val="323A7782"/>
    <w:rsid w:val="32717154"/>
    <w:rsid w:val="3282171C"/>
    <w:rsid w:val="32E6742F"/>
    <w:rsid w:val="337218B6"/>
    <w:rsid w:val="34342DA2"/>
    <w:rsid w:val="34B63260"/>
    <w:rsid w:val="34F03564"/>
    <w:rsid w:val="37FDA7E2"/>
    <w:rsid w:val="39F8533B"/>
    <w:rsid w:val="3A314D88"/>
    <w:rsid w:val="3A746883"/>
    <w:rsid w:val="3B2D66F5"/>
    <w:rsid w:val="3C6E1344"/>
    <w:rsid w:val="3CA15DE9"/>
    <w:rsid w:val="3D2A252D"/>
    <w:rsid w:val="3D652295"/>
    <w:rsid w:val="3E8E191F"/>
    <w:rsid w:val="3F4F6B01"/>
    <w:rsid w:val="3FE61EE5"/>
    <w:rsid w:val="406508EE"/>
    <w:rsid w:val="408D6263"/>
    <w:rsid w:val="41B40CEE"/>
    <w:rsid w:val="42465736"/>
    <w:rsid w:val="43591956"/>
    <w:rsid w:val="44BC0BE0"/>
    <w:rsid w:val="48317291"/>
    <w:rsid w:val="485F7024"/>
    <w:rsid w:val="48E70666"/>
    <w:rsid w:val="491C7C18"/>
    <w:rsid w:val="494C2611"/>
    <w:rsid w:val="4A7D3336"/>
    <w:rsid w:val="4BF80670"/>
    <w:rsid w:val="4C6877E5"/>
    <w:rsid w:val="4D47483D"/>
    <w:rsid w:val="4D6A468D"/>
    <w:rsid w:val="4DE41C72"/>
    <w:rsid w:val="4E893C00"/>
    <w:rsid w:val="4EA86137"/>
    <w:rsid w:val="4F0A6436"/>
    <w:rsid w:val="4FB27E1B"/>
    <w:rsid w:val="52FA115C"/>
    <w:rsid w:val="56CA7FD0"/>
    <w:rsid w:val="57FA38D1"/>
    <w:rsid w:val="5B7A6094"/>
    <w:rsid w:val="5B862315"/>
    <w:rsid w:val="5C331642"/>
    <w:rsid w:val="5CC17751"/>
    <w:rsid w:val="5D0A7550"/>
    <w:rsid w:val="5D9A4FD1"/>
    <w:rsid w:val="5EEC4C6C"/>
    <w:rsid w:val="5F7D3333"/>
    <w:rsid w:val="60EA23DA"/>
    <w:rsid w:val="61385890"/>
    <w:rsid w:val="622F4C73"/>
    <w:rsid w:val="626B3C63"/>
    <w:rsid w:val="639B3B89"/>
    <w:rsid w:val="64113559"/>
    <w:rsid w:val="66B20227"/>
    <w:rsid w:val="687436E1"/>
    <w:rsid w:val="6B231D98"/>
    <w:rsid w:val="6C275247"/>
    <w:rsid w:val="6C4D3C0E"/>
    <w:rsid w:val="6DA45C50"/>
    <w:rsid w:val="6E9A7825"/>
    <w:rsid w:val="6F670F9B"/>
    <w:rsid w:val="737450E0"/>
    <w:rsid w:val="73B85C9D"/>
    <w:rsid w:val="74054476"/>
    <w:rsid w:val="742F38C4"/>
    <w:rsid w:val="74AB66DC"/>
    <w:rsid w:val="74C4154C"/>
    <w:rsid w:val="75956FFF"/>
    <w:rsid w:val="77AA2D01"/>
    <w:rsid w:val="794D0447"/>
    <w:rsid w:val="7AEB7DD7"/>
    <w:rsid w:val="7C7675E0"/>
    <w:rsid w:val="7CD431ED"/>
    <w:rsid w:val="7CDE1DBD"/>
    <w:rsid w:val="7D943A85"/>
    <w:rsid w:val="7DB0448C"/>
    <w:rsid w:val="7E43787F"/>
    <w:rsid w:val="7E4E7F2B"/>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customStyle="1" w:styleId="2">
    <w:name w:val="海南化工城正文"/>
    <w:basedOn w:val="3"/>
    <w:qFormat/>
    <w:uiPriority w:val="0"/>
    <w:pPr>
      <w:ind w:firstLine="480"/>
    </w:pPr>
    <w:rPr>
      <w:sz w:val="24"/>
    </w:rPr>
  </w:style>
  <w:style w:type="paragraph" w:customStyle="1" w:styleId="3">
    <w:name w:val="样式 电镀正文 + 首行缩进:  2 字符"/>
    <w:basedOn w:val="4"/>
    <w:qFormat/>
    <w:uiPriority w:val="0"/>
    <w:pPr>
      <w:spacing w:line="324" w:lineRule="auto"/>
    </w:pPr>
    <w:rPr>
      <w:rFonts w:cs="宋体"/>
      <w:szCs w:val="20"/>
    </w:rPr>
  </w:style>
  <w:style w:type="paragraph" w:customStyle="1" w:styleId="4">
    <w:name w:val="电镀正文"/>
    <w:basedOn w:val="5"/>
    <w:qFormat/>
    <w:uiPriority w:val="0"/>
    <w:pPr>
      <w:spacing w:line="400" w:lineRule="exact"/>
      <w:ind w:firstLine="200"/>
    </w:pPr>
    <w:rPr>
      <w:rFonts w:ascii="宋体" w:hAnsi="宋体"/>
    </w:rPr>
  </w:style>
  <w:style w:type="paragraph" w:styleId="5">
    <w:name w:val="Normal Indent"/>
    <w:basedOn w:val="1"/>
    <w:unhideWhenUsed/>
    <w:qFormat/>
    <w:uiPriority w:val="99"/>
    <w:pPr>
      <w:ind w:firstLine="420" w:firstLineChars="200"/>
    </w:pPr>
  </w:style>
  <w:style w:type="paragraph" w:styleId="6">
    <w:name w:val="annotation text"/>
    <w:basedOn w:val="1"/>
    <w:link w:val="17"/>
    <w:qFormat/>
    <w:uiPriority w:val="0"/>
    <w:pPr>
      <w:jc w:val="left"/>
    </w:pPr>
  </w:style>
  <w:style w:type="paragraph" w:styleId="7">
    <w:name w:val="Balloon Text"/>
    <w:basedOn w:val="1"/>
    <w:link w:val="18"/>
    <w:qFormat/>
    <w:uiPriority w:val="0"/>
    <w:rPr>
      <w:sz w:val="18"/>
      <w:szCs w:val="18"/>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10">
    <w:name w:val="annotation subject"/>
    <w:basedOn w:val="6"/>
    <w:next w:val="6"/>
    <w:link w:val="20"/>
    <w:qFormat/>
    <w:uiPriority w:val="0"/>
    <w:rPr>
      <w:b/>
      <w:bCs/>
    </w:rPr>
  </w:style>
  <w:style w:type="character" w:styleId="13">
    <w:name w:val="page number"/>
    <w:qFormat/>
    <w:uiPriority w:val="0"/>
  </w:style>
  <w:style w:type="character" w:styleId="14">
    <w:name w:val="annotation reference"/>
    <w:qFormat/>
    <w:uiPriority w:val="0"/>
    <w:rPr>
      <w:sz w:val="21"/>
      <w:szCs w:val="21"/>
    </w:rPr>
  </w:style>
  <w:style w:type="paragraph" w:customStyle="1" w:styleId="15">
    <w:name w:val="正文-公1"/>
    <w:basedOn w:val="16"/>
    <w:next w:val="1"/>
    <w:qFormat/>
    <w:uiPriority w:val="0"/>
    <w:pPr>
      <w:ind w:firstLine="200" w:firstLineChars="200"/>
    </w:pPr>
  </w:style>
  <w:style w:type="paragraph" w:customStyle="1" w:styleId="16">
    <w:name w:val="正文 New New New New New New New New New New New New New New New New New New New New New New New New New New New New New New New New New New New New New New New New New New New New New New New New New New New New New New New New New New New New New New Ne"/>
    <w:next w:val="15"/>
    <w:qFormat/>
    <w:uiPriority w:val="0"/>
    <w:pPr>
      <w:widowControl w:val="0"/>
      <w:jc w:val="both"/>
    </w:pPr>
    <w:rPr>
      <w:rFonts w:ascii="Times New Roman" w:hAnsi="Times New Roman" w:eastAsia="宋体" w:cs="Times New Roman"/>
      <w:kern w:val="2"/>
      <w:sz w:val="21"/>
      <w:lang w:val="en-US" w:eastAsia="zh-CN"/>
    </w:rPr>
  </w:style>
  <w:style w:type="character" w:customStyle="1" w:styleId="17">
    <w:name w:val="批注文字 Char"/>
    <w:link w:val="6"/>
    <w:qFormat/>
    <w:uiPriority w:val="0"/>
    <w:rPr>
      <w:kern w:val="2"/>
      <w:sz w:val="21"/>
      <w:szCs w:val="24"/>
    </w:rPr>
  </w:style>
  <w:style w:type="character" w:customStyle="1" w:styleId="18">
    <w:name w:val="批注框文本 Char"/>
    <w:link w:val="7"/>
    <w:qFormat/>
    <w:uiPriority w:val="0"/>
    <w:rPr>
      <w:kern w:val="2"/>
      <w:sz w:val="18"/>
      <w:szCs w:val="18"/>
    </w:rPr>
  </w:style>
  <w:style w:type="character" w:customStyle="1" w:styleId="19">
    <w:name w:val="页眉 Char"/>
    <w:link w:val="9"/>
    <w:qFormat/>
    <w:uiPriority w:val="0"/>
    <w:rPr>
      <w:kern w:val="2"/>
      <w:sz w:val="18"/>
      <w:szCs w:val="18"/>
    </w:rPr>
  </w:style>
  <w:style w:type="character" w:customStyle="1" w:styleId="20">
    <w:name w:val="批注主题 Char"/>
    <w:link w:val="10"/>
    <w:qFormat/>
    <w:uiPriority w:val="0"/>
    <w:rPr>
      <w:b/>
      <w:bCs/>
      <w:kern w:val="2"/>
      <w:sz w:val="21"/>
      <w:szCs w:val="24"/>
    </w:rPr>
  </w:style>
  <w:style w:type="paragraph" w:customStyle="1" w:styleId="21">
    <w:name w:val="WPSOffice手动目录 1"/>
    <w:qFormat/>
    <w:uiPriority w:val="0"/>
    <w:rPr>
      <w:rFonts w:ascii="Times New Roman" w:hAnsi="Times New Roman" w:eastAsia="宋体" w:cs="Times New Roman"/>
      <w:lang w:val="en-US" w:eastAsia="zh-CN" w:bidi="ar-SA"/>
    </w:rPr>
  </w:style>
  <w:style w:type="paragraph" w:customStyle="1" w:styleId="22">
    <w:name w:val="WPSOffice手动目录 2"/>
    <w:qFormat/>
    <w:uiPriority w:val="0"/>
    <w:pPr>
      <w:ind w:leftChars="200"/>
    </w:pPr>
    <w:rPr>
      <w:rFonts w:ascii="Times New Roman" w:hAnsi="Times New Roman" w:eastAsia="宋体" w:cs="Times New Roman"/>
      <w:lang w:val="en-US" w:eastAsia="zh-CN" w:bidi="ar-SA"/>
    </w:rPr>
  </w:style>
  <w:style w:type="paragraph" w:customStyle="1" w:styleId="23">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8429</Words>
  <Characters>9189</Characters>
  <Lines>67</Lines>
  <Paragraphs>18</Paragraphs>
  <TotalTime>19</TotalTime>
  <ScaleCrop>false</ScaleCrop>
  <LinksUpToDate>false</LinksUpToDate>
  <CharactersWithSpaces>9279</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Administrator</cp:lastModifiedBy>
  <cp:lastPrinted>2023-08-03T00:58:00Z</cp:lastPrinted>
  <dcterms:modified xsi:type="dcterms:W3CDTF">2025-08-21T07:40:39Z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