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color w:val="auto"/>
          <w:sz w:val="44"/>
          <w:szCs w:val="44"/>
        </w:rPr>
      </w:pPr>
      <w:r>
        <w:rPr>
          <w:rFonts w:hint="eastAsia" w:asciiTheme="majorEastAsia" w:hAnsiTheme="majorEastAsia" w:eastAsiaTheme="majorEastAsia" w:cstheme="majorEastAsia"/>
          <w:b/>
          <w:bCs/>
          <w:color w:val="auto"/>
          <w:sz w:val="44"/>
          <w:szCs w:val="44"/>
        </w:rPr>
        <w:t>中共保亭黎族苗族自治县委史志馆本级</w:t>
      </w:r>
    </w:p>
    <w:p>
      <w:pPr>
        <w:spacing w:line="578" w:lineRule="exact"/>
        <w:jc w:val="center"/>
        <w:rPr>
          <w:rFonts w:hint="eastAsia" w:asciiTheme="majorEastAsia" w:hAnsiTheme="majorEastAsia" w:eastAsiaTheme="majorEastAsia" w:cstheme="majorEastAsia"/>
          <w:b/>
          <w:bCs/>
          <w:color w:val="auto"/>
          <w:sz w:val="44"/>
          <w:szCs w:val="44"/>
        </w:rPr>
      </w:pPr>
      <w:r>
        <w:rPr>
          <w:rFonts w:hint="eastAsia" w:asciiTheme="majorEastAsia" w:hAnsiTheme="majorEastAsia" w:eastAsiaTheme="majorEastAsia" w:cstheme="majorEastAsia"/>
          <w:b/>
          <w:bCs/>
          <w:color w:val="auto"/>
          <w:sz w:val="44"/>
          <w:szCs w:val="44"/>
        </w:rPr>
        <w:t>2024年度部门决算公开报告</w:t>
      </w:r>
    </w:p>
    <w:p>
      <w:pPr>
        <w:spacing w:line="578" w:lineRule="exact"/>
        <w:jc w:val="center"/>
        <w:rPr>
          <w:rFonts w:hint="eastAsia" w:ascii="黑体" w:hAnsi="ˎ̥" w:eastAsia="黑体"/>
          <w:b/>
          <w:color w:val="auto"/>
          <w:sz w:val="32"/>
          <w:szCs w:val="32"/>
        </w:rPr>
      </w:pPr>
    </w:p>
    <w:p>
      <w:pPr>
        <w:spacing w:line="578" w:lineRule="exact"/>
        <w:jc w:val="center"/>
        <w:rPr>
          <w:rFonts w:hint="eastAsia" w:ascii="黑体" w:hAnsi="黑体" w:eastAsia="黑体" w:cs="黑体"/>
          <w:color w:val="auto"/>
          <w:sz w:val="44"/>
          <w:szCs w:val="44"/>
        </w:rPr>
      </w:pPr>
      <w:bookmarkStart w:id="0" w:name="_Toc11440_WPSOffice_Type2"/>
      <w:r>
        <w:rPr>
          <w:rFonts w:hint="eastAsia" w:ascii="黑体" w:hAnsi="黑体" w:eastAsia="黑体" w:cs="黑体"/>
          <w:color w:val="auto"/>
          <w:sz w:val="44"/>
          <w:szCs w:val="44"/>
        </w:rPr>
        <w:t>目  录</w:t>
      </w:r>
    </w:p>
    <w:p>
      <w:pPr>
        <w:pStyle w:val="19"/>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_Toc1704_WPSOffice_Level1 </w:instrText>
      </w:r>
      <w:r>
        <w:rPr>
          <w:color w:val="auto"/>
          <w:sz w:val="32"/>
          <w:szCs w:val="32"/>
        </w:rPr>
        <w:fldChar w:fldCharType="separate"/>
      </w:r>
      <w:r>
        <w:rPr>
          <w:rFonts w:hint="eastAsia" w:ascii="黑体" w:hAnsi="ˎ̥" w:eastAsia="黑体"/>
          <w:color w:val="auto"/>
          <w:sz w:val="32"/>
          <w:szCs w:val="32"/>
        </w:rPr>
        <w:t>第一部分 基本情况</w:t>
      </w:r>
      <w:r>
        <w:rPr>
          <w:color w:val="auto"/>
          <w:sz w:val="32"/>
          <w:szCs w:val="32"/>
        </w:rPr>
        <w:tab/>
      </w:r>
      <w:r>
        <w:rPr>
          <w:color w:val="auto"/>
          <w:sz w:val="32"/>
          <w:szCs w:val="32"/>
        </w:rPr>
        <w:fldChar w:fldCharType="end"/>
      </w:r>
      <w:r>
        <w:rPr>
          <w:rFonts w:hint="eastAsia"/>
          <w:color w:val="auto"/>
          <w:sz w:val="32"/>
          <w:szCs w:val="32"/>
        </w:rPr>
        <w:t>2</w:t>
      </w:r>
    </w:p>
    <w:p>
      <w:pPr>
        <w:pStyle w:val="20"/>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_Toc20274_WPSOffice_Level2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一、部门（单位）职责</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20"/>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_Toc4833_WPSOffice_Level2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二、机构设置</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19"/>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_Toc28253_WPSOffice_Level1 </w:instrText>
      </w:r>
      <w:r>
        <w:rPr>
          <w:color w:val="auto"/>
          <w:sz w:val="32"/>
          <w:szCs w:val="32"/>
        </w:rPr>
        <w:fldChar w:fldCharType="separate"/>
      </w: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年度部门决算公开表</w:t>
      </w:r>
      <w:r>
        <w:rPr>
          <w:color w:val="auto"/>
          <w:sz w:val="32"/>
          <w:szCs w:val="32"/>
        </w:rPr>
        <w:tab/>
      </w:r>
      <w:r>
        <w:rPr>
          <w:color w:val="auto"/>
          <w:sz w:val="32"/>
          <w:szCs w:val="32"/>
        </w:rPr>
        <w:fldChar w:fldCharType="end"/>
      </w:r>
      <w:r>
        <w:rPr>
          <w:rFonts w:hint="eastAsia"/>
          <w:color w:val="auto"/>
          <w:sz w:val="32"/>
          <w:szCs w:val="32"/>
        </w:rPr>
        <w:t>2</w:t>
      </w:r>
    </w:p>
    <w:p>
      <w:pPr>
        <w:pStyle w:val="19"/>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_Toc27590_WPSOffice_Level1 </w:instrText>
      </w:r>
      <w:r>
        <w:rPr>
          <w:color w:val="auto"/>
          <w:sz w:val="32"/>
          <w:szCs w:val="32"/>
        </w:rPr>
        <w:fldChar w:fldCharType="separate"/>
      </w:r>
      <w:r>
        <w:rPr>
          <w:rFonts w:hint="eastAsia" w:ascii="黑体" w:hAnsi="黑体" w:eastAsia="黑体" w:cs="黑体"/>
          <w:color w:val="auto"/>
          <w:sz w:val="32"/>
          <w:szCs w:val="32"/>
        </w:rPr>
        <w:t>第三部分</w:t>
      </w:r>
      <w:r>
        <w:rPr>
          <w:rFonts w:hint="eastAsia"/>
          <w:color w:val="auto"/>
          <w:sz w:val="32"/>
          <w:szCs w:val="32"/>
        </w:rPr>
        <w:t xml:space="preserve">  </w:t>
      </w:r>
      <w:r>
        <w:rPr>
          <w:rFonts w:hint="default" w:ascii="黑体" w:hAnsi="ˎ̥" w:eastAsia="黑体"/>
          <w:color w:val="auto"/>
          <w:sz w:val="32"/>
          <w:szCs w:val="32"/>
          <w:lang w:val="en-US"/>
        </w:rPr>
        <w:t>2024</w:t>
      </w:r>
      <w:r>
        <w:rPr>
          <w:rFonts w:hint="eastAsia" w:ascii="黑体" w:hAnsi="ˎ̥" w:eastAsia="黑体"/>
          <w:color w:val="auto"/>
          <w:sz w:val="32"/>
          <w:szCs w:val="32"/>
        </w:rPr>
        <w:t>年度部门决算情况说明</w:t>
      </w:r>
      <w:r>
        <w:rPr>
          <w:color w:val="auto"/>
          <w:sz w:val="32"/>
          <w:szCs w:val="32"/>
        </w:rPr>
        <w:tab/>
      </w:r>
      <w:r>
        <w:rPr>
          <w:color w:val="auto"/>
          <w:sz w:val="32"/>
          <w:szCs w:val="32"/>
        </w:rPr>
        <w:fldChar w:fldCharType="end"/>
      </w:r>
      <w:r>
        <w:rPr>
          <w:rFonts w:hint="eastAsia"/>
          <w:color w:val="auto"/>
          <w:sz w:val="32"/>
          <w:szCs w:val="32"/>
        </w:rPr>
        <w:t>3</w:t>
      </w:r>
    </w:p>
    <w:p>
      <w:pPr>
        <w:pStyle w:val="20"/>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_Toc21737_WPSOffice_Level2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一、收入支出总体情况说明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3</w:t>
      </w:r>
    </w:p>
    <w:p>
      <w:pPr>
        <w:pStyle w:val="20"/>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二、收入决算情况说明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20"/>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三、支出决算情况说明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20"/>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四、财政拨款收入支出决算</w:t>
      </w:r>
      <w:r>
        <w:rPr>
          <w:rFonts w:hint="eastAsia" w:ascii="仿宋" w:hAnsi="仿宋" w:eastAsia="仿宋" w:cs="仿宋"/>
          <w:bCs/>
          <w:color w:val="auto"/>
          <w:sz w:val="32"/>
          <w:szCs w:val="32"/>
          <w:lang w:val="en-US" w:eastAsia="zh-CN"/>
        </w:rPr>
        <w:t>总体</w:t>
      </w:r>
      <w:r>
        <w:rPr>
          <w:rFonts w:hint="eastAsia" w:ascii="仿宋" w:hAnsi="仿宋" w:eastAsia="仿宋" w:cs="仿宋"/>
          <w:bCs/>
          <w:color w:val="auto"/>
          <w:sz w:val="32"/>
          <w:szCs w:val="32"/>
        </w:rPr>
        <w:t>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20"/>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五、一般公共预算财政拨款支出决算情况说明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5</w:t>
      </w:r>
    </w:p>
    <w:p>
      <w:pPr>
        <w:pStyle w:val="20"/>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六、一般公共预算财政拨款基本支出决算情况说明</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ab/>
      </w:r>
      <w:r>
        <w:rPr>
          <w:rFonts w:hint="eastAsia" w:ascii="仿宋" w:hAnsi="仿宋" w:eastAsia="仿宋" w:cs="仿宋"/>
          <w:color w:val="auto"/>
          <w:sz w:val="32"/>
          <w:szCs w:val="32"/>
        </w:rPr>
        <w:t>6</w:t>
      </w:r>
    </w:p>
    <w:p>
      <w:pPr>
        <w:pStyle w:val="20"/>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政府性基金预算财政拨款支出决算情况说明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7</w:t>
      </w:r>
    </w:p>
    <w:p>
      <w:pPr>
        <w:pStyle w:val="20"/>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国有资本经营预算财政拨款支出决算情况说明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8</w:t>
      </w:r>
    </w:p>
    <w:p>
      <w:pPr>
        <w:pStyle w:val="20"/>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九、财政拨款“三公”经费支出决算情况说明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9</w:t>
      </w:r>
    </w:p>
    <w:p>
      <w:pPr>
        <w:pStyle w:val="20"/>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十、预算绩效情况说明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11</w:t>
      </w:r>
    </w:p>
    <w:p>
      <w:pPr>
        <w:pStyle w:val="20"/>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十一、其他重要事项情况说明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13</w:t>
      </w:r>
    </w:p>
    <w:p>
      <w:pPr>
        <w:pStyle w:val="19"/>
        <w:tabs>
          <w:tab w:val="right" w:leader="dot" w:pos="8306"/>
        </w:tabs>
        <w:spacing w:line="578" w:lineRule="exact"/>
        <w:rPr>
          <w:rFonts w:hint="eastAsia" w:ascii="黑体" w:hAnsi="ˎ̥"/>
          <w:b/>
          <w:color w:val="auto"/>
          <w:sz w:val="32"/>
          <w:szCs w:val="32"/>
        </w:rPr>
      </w:pPr>
      <w:r>
        <w:rPr>
          <w:color w:val="auto"/>
          <w:sz w:val="32"/>
          <w:szCs w:val="32"/>
        </w:rPr>
        <w:fldChar w:fldCharType="begin"/>
      </w:r>
      <w:r>
        <w:rPr>
          <w:color w:val="auto"/>
          <w:sz w:val="32"/>
          <w:szCs w:val="32"/>
        </w:rPr>
        <w:instrText xml:space="preserve"> HYPERLINK \l _Toc15425_WPSOffice_Level1 </w:instrText>
      </w:r>
      <w:r>
        <w:rPr>
          <w:color w:val="auto"/>
          <w:sz w:val="32"/>
          <w:szCs w:val="32"/>
        </w:rPr>
        <w:fldChar w:fldCharType="separate"/>
      </w:r>
      <w:r>
        <w:rPr>
          <w:rFonts w:hint="eastAsia" w:ascii="黑体" w:hAnsi="ˎ̥" w:eastAsia="黑体"/>
          <w:color w:val="auto"/>
          <w:sz w:val="32"/>
          <w:szCs w:val="32"/>
        </w:rPr>
        <w:t>第四部分  名词解释</w:t>
      </w:r>
      <w:r>
        <w:rPr>
          <w:color w:val="auto"/>
          <w:sz w:val="32"/>
          <w:szCs w:val="32"/>
        </w:rPr>
        <w:tab/>
      </w:r>
      <w:bookmarkStart w:id="1" w:name="_Toc15425_WPSOffice_Level1Page"/>
      <w:r>
        <w:rPr>
          <w:color w:val="auto"/>
          <w:sz w:val="32"/>
          <w:szCs w:val="32"/>
        </w:rPr>
        <w:t>1</w:t>
      </w:r>
      <w:bookmarkEnd w:id="1"/>
      <w:r>
        <w:rPr>
          <w:color w:val="auto"/>
          <w:sz w:val="32"/>
          <w:szCs w:val="32"/>
        </w:rPr>
        <w:fldChar w:fldCharType="end"/>
      </w:r>
      <w:bookmarkEnd w:id="0"/>
      <w:r>
        <w:rPr>
          <w:rFonts w:hint="eastAsia"/>
          <w:color w:val="auto"/>
          <w:sz w:val="32"/>
          <w:szCs w:val="32"/>
        </w:rPr>
        <w:t>5</w:t>
      </w:r>
    </w:p>
    <w:p>
      <w:pPr>
        <w:spacing w:line="578" w:lineRule="exact"/>
        <w:jc w:val="both"/>
        <w:rPr>
          <w:rFonts w:hint="eastAsia" w:ascii="黑体" w:hAnsi="ˎ̥" w:eastAsia="黑体"/>
          <w:color w:val="auto"/>
          <w:sz w:val="32"/>
          <w:szCs w:val="32"/>
        </w:rPr>
      </w:pPr>
      <w:bookmarkStart w:id="2" w:name="_Toc22941_WPSOffice_Level1"/>
      <w:bookmarkStart w:id="3" w:name="_Toc10049_WPSOffice_Level1"/>
      <w:bookmarkStart w:id="4" w:name="_Toc23465_WPSOffice_Level1"/>
      <w:bookmarkStart w:id="5" w:name="_Toc1704_WPSOffice_Level1"/>
      <w:bookmarkStart w:id="6" w:name="_Toc32433_WPSOffice_Level1"/>
      <w:bookmarkStart w:id="7" w:name="_Toc10720_WPSOffice_Level1"/>
      <w:bookmarkStart w:id="8" w:name="_Toc24238_WPSOffice_Level2"/>
      <w:bookmarkStart w:id="9" w:name="_Toc20274_WPSOffice_Level2"/>
      <w:bookmarkStart w:id="10" w:name="_Toc26580_WPSOffice_Level2"/>
      <w:bookmarkStart w:id="11" w:name="_Toc20205_WPSOffice_Level2"/>
      <w:bookmarkStart w:id="12" w:name="_Toc14159_WPSOffice_Level2"/>
      <w:bookmarkStart w:id="13" w:name="_Toc32622_WPSOffice_Level2"/>
    </w:p>
    <w:p>
      <w:pPr>
        <w:spacing w:line="578" w:lineRule="exact"/>
        <w:jc w:val="center"/>
        <w:rPr>
          <w:rFonts w:hint="eastAsia" w:ascii="黑体" w:hAnsi="ˎ̥" w:eastAsia="黑体"/>
          <w:color w:val="auto"/>
          <w:sz w:val="32"/>
          <w:szCs w:val="32"/>
        </w:rPr>
      </w:pPr>
      <w:r>
        <w:rPr>
          <w:rFonts w:hint="eastAsia" w:ascii="黑体" w:hAnsi="ˎ̥" w:eastAsia="黑体"/>
          <w:color w:val="auto"/>
          <w:sz w:val="32"/>
          <w:szCs w:val="32"/>
        </w:rPr>
        <w:t xml:space="preserve">第一部分  </w:t>
      </w:r>
      <w:bookmarkEnd w:id="2"/>
      <w:bookmarkEnd w:id="3"/>
      <w:bookmarkEnd w:id="4"/>
      <w:bookmarkEnd w:id="5"/>
      <w:bookmarkEnd w:id="6"/>
      <w:bookmarkEnd w:id="7"/>
      <w:r>
        <w:rPr>
          <w:rFonts w:hint="eastAsia" w:ascii="黑体" w:hAnsi="ˎ̥" w:eastAsia="黑体"/>
          <w:color w:val="auto"/>
          <w:sz w:val="32"/>
          <w:szCs w:val="32"/>
        </w:rPr>
        <w:t>基本情况</w:t>
      </w:r>
    </w:p>
    <w:p>
      <w:pPr>
        <w:spacing w:line="578" w:lineRule="exact"/>
        <w:ind w:firstLine="640" w:firstLineChars="200"/>
        <w:rPr>
          <w:rFonts w:hint="eastAsia" w:ascii="楷体" w:hAnsi="楷体" w:eastAsia="楷体" w:cs="楷体"/>
          <w:color w:val="auto"/>
          <w:sz w:val="32"/>
          <w:szCs w:val="32"/>
        </w:rPr>
      </w:pPr>
    </w:p>
    <w:p>
      <w:pPr>
        <w:numPr>
          <w:ilvl w:val="0"/>
          <w:numId w:val="2"/>
        </w:numPr>
        <w:spacing w:line="578"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部门</w:t>
      </w:r>
      <w:bookmarkEnd w:id="8"/>
      <w:r>
        <w:rPr>
          <w:rFonts w:hint="eastAsia" w:ascii="黑体" w:hAnsi="黑体" w:eastAsia="黑体" w:cs="黑体"/>
          <w:color w:val="auto"/>
          <w:sz w:val="32"/>
          <w:szCs w:val="32"/>
        </w:rPr>
        <w:t>（单位）职责</w:t>
      </w:r>
      <w:bookmarkEnd w:id="9"/>
      <w:bookmarkEnd w:id="10"/>
      <w:bookmarkEnd w:id="11"/>
      <w:bookmarkEnd w:id="12"/>
      <w:bookmarkEnd w:id="13"/>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中共保亭黎族苗族自治县委史志馆主要负责：（1）贯彻执行党和国家在编纂史志方面的方针、政策和法规，制订全县史志工作规划并组织实施。（2）组织编纂和出版发行中共保亭地方党史、地方志和年鉴，编辑出版发行有关史志书籍、地情资料和刊物。（3）负责指导和协助全县各乡镇、各单位做好史志资料的收集、整理和编写工作，并对编定成书的史志资料严格审查验收，防止史料错漏。（4）负责全县史料征集、保管、整理工作，提供县域史料的查阅服务。（5）负责全县史志研究、宣传、教育、培训、统计等工作，发挥史志“以史育人，以史鉴今”作用。（6）承办县委、县政府及上级业务部门交办的其他工作。</w:t>
      </w:r>
    </w:p>
    <w:p>
      <w:pPr>
        <w:spacing w:line="578" w:lineRule="exact"/>
        <w:ind w:firstLine="640" w:firstLineChars="200"/>
        <w:rPr>
          <w:rFonts w:hint="eastAsia" w:ascii="黑体" w:hAnsi="黑体" w:eastAsia="黑体" w:cs="黑体"/>
          <w:color w:val="auto"/>
          <w:sz w:val="32"/>
          <w:szCs w:val="32"/>
        </w:rPr>
      </w:pPr>
      <w:bookmarkStart w:id="14" w:name="_Toc6572_WPSOffice_Level2"/>
      <w:bookmarkStart w:id="15" w:name="_Toc24474_WPSOffice_Level2"/>
      <w:bookmarkStart w:id="16" w:name="_Toc4833_WPSOffice_Level2"/>
      <w:bookmarkStart w:id="17" w:name="_Toc17796_WPSOffice_Level2"/>
      <w:bookmarkStart w:id="18" w:name="_Toc24059_WPSOffice_Level2"/>
      <w:r>
        <w:rPr>
          <w:rFonts w:hint="eastAsia" w:ascii="黑体" w:hAnsi="黑体" w:eastAsia="黑体" w:cs="黑体"/>
          <w:color w:val="auto"/>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纳入</w:t>
      </w:r>
      <w:r>
        <w:rPr>
          <w:rFonts w:hint="default" w:ascii="仿宋_GB2312" w:hAnsi="ˎ̥" w:eastAsia="仿宋_GB2312"/>
          <w:color w:val="auto"/>
          <w:sz w:val="32"/>
          <w:szCs w:val="32"/>
          <w:lang w:val="en-US"/>
        </w:rPr>
        <w:t>中共保亭黎族苗族自治县委史志馆2024</w:t>
      </w:r>
      <w:r>
        <w:rPr>
          <w:rFonts w:hint="eastAsia" w:ascii="仿宋_GB2312" w:hAnsi="ˎ̥" w:eastAsia="仿宋_GB2312"/>
          <w:color w:val="auto"/>
          <w:sz w:val="32"/>
          <w:szCs w:val="32"/>
        </w:rPr>
        <w:t>年度部门决算编制范围的单位共</w:t>
      </w: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rPr>
        <w:t>个，</w:t>
      </w:r>
      <w:r>
        <w:rPr>
          <w:rFonts w:hint="eastAsia" w:ascii="仿宋_GB2312" w:eastAsia="仿宋_GB2312"/>
          <w:color w:val="auto"/>
          <w:sz w:val="32"/>
          <w:szCs w:val="32"/>
          <w:lang w:eastAsia="zh-CN"/>
        </w:rPr>
        <w:t>为</w:t>
      </w:r>
      <w:r>
        <w:rPr>
          <w:rFonts w:hint="eastAsia" w:ascii="仿宋_GB2312" w:hAnsi="ˎ̥" w:eastAsia="仿宋_GB2312" w:cs="Times New Roman"/>
          <w:color w:val="auto"/>
          <w:sz w:val="32"/>
          <w:szCs w:val="32"/>
          <w:highlight w:val="none"/>
          <w:lang w:eastAsia="zh-CN"/>
        </w:rPr>
        <w:t>中共保亭黎族苗族自治县委史志馆部门本级，内部机构设置有秘书岗、资料征集岗</w:t>
      </w:r>
    </w:p>
    <w:p>
      <w:pPr>
        <w:spacing w:line="578" w:lineRule="exact"/>
        <w:jc w:val="center"/>
        <w:rPr>
          <w:rFonts w:hint="eastAsia" w:ascii="黑体" w:hAnsi="ˎ̥" w:eastAsia="黑体"/>
          <w:color w:val="auto"/>
          <w:sz w:val="32"/>
          <w:szCs w:val="32"/>
        </w:rPr>
      </w:pPr>
      <w:bookmarkStart w:id="19" w:name="_Toc30690_WPSOffice_Level1"/>
      <w:bookmarkStart w:id="20" w:name="_Toc8164_WPSOffice_Level1"/>
      <w:bookmarkStart w:id="21" w:name="_Toc6234_WPSOffice_Level1"/>
      <w:bookmarkStart w:id="22" w:name="_Toc30451_WPSOffice_Level1"/>
      <w:bookmarkStart w:id="23" w:name="_Toc28253_WPSOffice_Level1"/>
      <w:bookmarkStart w:id="24" w:name="_Toc15521_WPSOffice_Level1"/>
      <w:bookmarkStart w:id="25" w:name="_Toc32472_WPSOffice_Level2"/>
      <w:bookmarkStart w:id="26" w:name="_Toc4029_WPSOffice_Level2"/>
      <w:bookmarkStart w:id="27" w:name="_Toc6211_WPSOffice_Level2"/>
      <w:bookmarkStart w:id="28" w:name="_Toc8867_WPSOffice_Level2"/>
      <w:bookmarkStart w:id="29" w:name="_Toc11518_WPSOffice_Level2"/>
      <w:bookmarkStart w:id="30" w:name="_Toc32695_WPSOffice_Level2"/>
    </w:p>
    <w:p>
      <w:pPr>
        <w:spacing w:line="578" w:lineRule="exact"/>
        <w:jc w:val="center"/>
        <w:rPr>
          <w:rFonts w:hint="eastAsia" w:ascii="黑体" w:hAnsi="ˎ̥" w:eastAsia="黑体"/>
          <w:color w:val="auto"/>
          <w:sz w:val="32"/>
          <w:szCs w:val="32"/>
        </w:rPr>
      </w:pP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年度部门决算公开报表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color w:val="auto"/>
          <w:sz w:val="32"/>
          <w:szCs w:val="32"/>
        </w:rPr>
      </w:pPr>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color w:val="auto"/>
          <w:sz w:val="32"/>
          <w:szCs w:val="32"/>
        </w:rPr>
      </w:pPr>
      <w:bookmarkStart w:id="31" w:name="_Toc23139_WPSOffice_Level2"/>
      <w:bookmarkStart w:id="32" w:name="_Toc14349_WPSOffice_Level2"/>
      <w:bookmarkStart w:id="33" w:name="_Toc28622_WPSOffice_Level2"/>
      <w:bookmarkStart w:id="34" w:name="_Toc25608_WPSOffice_Level2"/>
      <w:bookmarkStart w:id="35" w:name="_Toc30334_WPSOffice_Level2"/>
      <w:bookmarkStart w:id="36" w:name="_Toc26621_WPSOffice_Level2"/>
      <w:r>
        <w:rPr>
          <w:rFonts w:hint="eastAsia" w:ascii="黑体" w:hAnsi="黑体" w:eastAsia="黑体" w:cs="黑体"/>
          <w:color w:val="auto"/>
          <w:sz w:val="32"/>
          <w:szCs w:val="32"/>
        </w:rPr>
        <w:t>二、收入决算公开表</w:t>
      </w:r>
      <w:bookmarkEnd w:id="31"/>
      <w:bookmarkEnd w:id="32"/>
      <w:bookmarkEnd w:id="33"/>
      <w:bookmarkEnd w:id="34"/>
      <w:bookmarkEnd w:id="35"/>
      <w:bookmarkEnd w:id="36"/>
      <w:bookmarkStart w:id="37" w:name="_Toc17626_WPSOffice_Level2"/>
      <w:bookmarkStart w:id="38" w:name="_Toc14658_WPSOffice_Level2"/>
      <w:bookmarkStart w:id="39" w:name="_Toc13854_WPSOffice_Level2"/>
      <w:bookmarkStart w:id="40" w:name="_Toc3262_WPSOffice_Level2"/>
      <w:bookmarkStart w:id="41" w:name="_Toc5489_WPSOffice_Level2"/>
      <w:bookmarkStart w:id="42" w:name="_Toc17858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三、支出决算公开表</w:t>
      </w:r>
      <w:bookmarkEnd w:id="37"/>
      <w:bookmarkEnd w:id="38"/>
      <w:bookmarkEnd w:id="39"/>
      <w:bookmarkEnd w:id="40"/>
      <w:bookmarkEnd w:id="41"/>
      <w:bookmarkEnd w:id="42"/>
      <w:bookmarkStart w:id="43" w:name="_Toc21415_WPSOffice_Level2"/>
      <w:bookmarkStart w:id="44" w:name="_Toc23493_WPSOffice_Level2"/>
      <w:bookmarkStart w:id="45" w:name="_Toc7988_WPSOffice_Level2"/>
      <w:bookmarkStart w:id="46" w:name="_Toc4265_WPSOffice_Level2"/>
      <w:bookmarkStart w:id="47" w:name="_Toc13701_WPSOffice_Level2"/>
      <w:bookmarkStart w:id="48" w:name="_Toc23591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四、财政拨款收入支出决算公开表</w:t>
      </w:r>
      <w:bookmarkEnd w:id="43"/>
      <w:bookmarkEnd w:id="44"/>
      <w:bookmarkEnd w:id="45"/>
      <w:bookmarkEnd w:id="46"/>
      <w:bookmarkEnd w:id="47"/>
      <w:bookmarkEnd w:id="48"/>
    </w:p>
    <w:p>
      <w:pPr>
        <w:spacing w:line="578" w:lineRule="exact"/>
        <w:ind w:firstLine="645"/>
        <w:rPr>
          <w:rFonts w:hint="eastAsia" w:ascii="黑体" w:hAnsi="黑体" w:eastAsia="黑体" w:cs="黑体"/>
          <w:color w:val="auto"/>
          <w:sz w:val="32"/>
          <w:szCs w:val="32"/>
        </w:rPr>
      </w:pPr>
      <w:bookmarkStart w:id="49" w:name="_Toc23829_WPSOffice_Level2"/>
      <w:bookmarkStart w:id="50" w:name="_Toc22783_WPSOffice_Level2"/>
      <w:bookmarkStart w:id="51" w:name="_Toc25166_WPSOffice_Level2"/>
      <w:bookmarkStart w:id="52" w:name="_Toc7879_WPSOffice_Level2"/>
      <w:bookmarkStart w:id="53" w:name="_Toc13516_WPSOffice_Level2"/>
      <w:bookmarkStart w:id="54" w:name="_Toc2158_WPSOffice_Level2"/>
      <w:r>
        <w:rPr>
          <w:rFonts w:hint="eastAsia" w:ascii="黑体" w:hAnsi="黑体" w:eastAsia="黑体" w:cs="黑体"/>
          <w:color w:val="auto"/>
          <w:sz w:val="32"/>
          <w:szCs w:val="32"/>
        </w:rPr>
        <w:t>五、一般公共预算财政拨款收入支出决算</w:t>
      </w:r>
      <w:bookmarkEnd w:id="49"/>
      <w:bookmarkEnd w:id="50"/>
      <w:bookmarkEnd w:id="51"/>
      <w:bookmarkEnd w:id="52"/>
      <w:r>
        <w:rPr>
          <w:rFonts w:hint="eastAsia" w:ascii="黑体" w:hAnsi="黑体" w:eastAsia="黑体" w:cs="黑体"/>
          <w:color w:val="auto"/>
          <w:sz w:val="32"/>
          <w:szCs w:val="32"/>
        </w:rPr>
        <w:t>公开表</w:t>
      </w:r>
      <w:bookmarkEnd w:id="53"/>
      <w:bookmarkEnd w:id="54"/>
      <w:bookmarkStart w:id="55" w:name="_Toc25362_WPSOffice_Level2"/>
      <w:bookmarkStart w:id="56" w:name="_Toc17283_WPSOffice_Level2"/>
      <w:bookmarkStart w:id="57" w:name="_Toc5343_WPSOffice_Level2"/>
      <w:bookmarkStart w:id="58" w:name="_Toc8373_WPSOffice_Level2"/>
      <w:bookmarkStart w:id="59" w:name="_Toc17833_WPSOffice_Level2"/>
      <w:bookmarkStart w:id="60" w:name="_Toc2632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bookmarkStart w:id="61" w:name="_Toc11799_WPSOffice_Level2"/>
      <w:bookmarkStart w:id="62" w:name="_Toc13345_WPSOffice_Level2"/>
      <w:bookmarkStart w:id="63" w:name="_Toc6020_WPSOffice_Level2"/>
      <w:bookmarkStart w:id="64" w:name="_Toc1533_WPSOffice_Level2"/>
      <w:bookmarkStart w:id="65" w:name="_Toc21310_WPSOffice_Level2"/>
      <w:bookmarkStart w:id="66" w:name="_Toc5594_WPSOffice_Level2"/>
      <w:r>
        <w:rPr>
          <w:rFonts w:hint="eastAsia" w:ascii="黑体" w:hAnsi="黑体" w:eastAsia="黑体" w:cs="黑体"/>
          <w:color w:val="auto"/>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r>
        <w:rPr>
          <w:rFonts w:hint="eastAsia" w:ascii="黑体" w:hAnsi="黑体" w:eastAsia="黑体" w:cs="黑体"/>
          <w:color w:val="auto"/>
          <w:sz w:val="32"/>
          <w:szCs w:val="32"/>
        </w:rPr>
        <w:t>八、国有资本经营预算财政拨款收入支出决算公开表</w:t>
      </w:r>
    </w:p>
    <w:p>
      <w:pPr>
        <w:spacing w:line="578" w:lineRule="exact"/>
        <w:ind w:firstLine="640"/>
        <w:rPr>
          <w:rFonts w:hint="eastAsia" w:ascii="黑体" w:hAnsi="黑体" w:eastAsia="黑体" w:cs="黑体"/>
          <w:color w:val="auto"/>
          <w:sz w:val="32"/>
          <w:szCs w:val="32"/>
        </w:rPr>
      </w:pPr>
      <w:bookmarkStart w:id="67" w:name="_Toc29886_WPSOffice_Level2"/>
      <w:bookmarkStart w:id="68" w:name="_Toc9377_WPSOffice_Level2"/>
      <w:bookmarkStart w:id="69" w:name="_Toc19961_WPSOffice_Level2"/>
      <w:bookmarkStart w:id="70" w:name="_Toc1820_WPSOffice_Level2"/>
      <w:r>
        <w:rPr>
          <w:rFonts w:hint="eastAsia" w:ascii="黑体" w:hAnsi="黑体" w:eastAsia="黑体" w:cs="黑体"/>
          <w:color w:val="auto"/>
          <w:sz w:val="32"/>
          <w:szCs w:val="32"/>
        </w:rPr>
        <w:t>九、财政拨款“三公”经费支出决算</w:t>
      </w:r>
      <w:bookmarkEnd w:id="67"/>
      <w:bookmarkEnd w:id="68"/>
      <w:bookmarkEnd w:id="69"/>
      <w:bookmarkEnd w:id="70"/>
      <w:r>
        <w:rPr>
          <w:rFonts w:hint="eastAsia" w:ascii="黑体" w:hAnsi="黑体" w:eastAsia="黑体" w:cs="黑体"/>
          <w:color w:val="auto"/>
          <w:sz w:val="32"/>
          <w:szCs w:val="32"/>
        </w:rPr>
        <w:t>公开表</w:t>
      </w:r>
    </w:p>
    <w:p>
      <w:pPr>
        <w:spacing w:line="578" w:lineRule="exact"/>
        <w:ind w:firstLine="640"/>
        <w:rPr>
          <w:rFonts w:hint="eastAsia" w:ascii="仿宋" w:hAnsi="仿宋" w:eastAsia="仿宋" w:cs="仿宋"/>
          <w:color w:val="auto"/>
          <w:w w:val="100"/>
          <w:sz w:val="32"/>
          <w:szCs w:val="32"/>
        </w:rPr>
      </w:pPr>
      <w:r>
        <w:rPr>
          <w:rFonts w:hint="eastAsia" w:ascii="仿宋" w:hAnsi="仿宋" w:eastAsia="仿宋" w:cs="仿宋"/>
          <w:color w:val="auto"/>
          <w:w w:val="100"/>
          <w:sz w:val="32"/>
          <w:szCs w:val="32"/>
        </w:rPr>
        <w:t xml:space="preserve">以上报表见附件1。   </w:t>
      </w:r>
    </w:p>
    <w:p>
      <w:pPr>
        <w:spacing w:line="578" w:lineRule="exact"/>
        <w:rPr>
          <w:rFonts w:hint="eastAsia" w:ascii="黑体" w:hAnsi="黑体" w:eastAsia="黑体" w:cs="黑体"/>
          <w:color w:val="auto"/>
          <w:sz w:val="32"/>
          <w:szCs w:val="32"/>
        </w:rPr>
      </w:pPr>
    </w:p>
    <w:p>
      <w:pPr>
        <w:spacing w:line="578" w:lineRule="exact"/>
        <w:jc w:val="center"/>
        <w:rPr>
          <w:rFonts w:hint="eastAsia" w:ascii="黑体" w:hAnsi="ˎ̥" w:eastAsia="黑体"/>
          <w:color w:val="auto"/>
          <w:sz w:val="32"/>
          <w:szCs w:val="32"/>
        </w:rPr>
      </w:pPr>
      <w:bookmarkStart w:id="71" w:name="_Toc29683_WPSOffice_Level1"/>
      <w:bookmarkStart w:id="72" w:name="_Toc27590_WPSOffice_Level1"/>
      <w:bookmarkStart w:id="73" w:name="_Toc16686_WPSOffice_Level1"/>
      <w:bookmarkStart w:id="74" w:name="_Toc4402_WPSOffice_Level1"/>
      <w:bookmarkStart w:id="75" w:name="_Toc31264_WPSOffice_Level1"/>
      <w:bookmarkStart w:id="76" w:name="_Toc28629_WPSOffice_Level1"/>
      <w:r>
        <w:rPr>
          <w:rFonts w:hint="eastAsia" w:ascii="黑体" w:hAnsi="ˎ̥" w:eastAsia="黑体"/>
          <w:color w:val="auto"/>
          <w:sz w:val="32"/>
          <w:szCs w:val="32"/>
        </w:rPr>
        <w:t xml:space="preserve">第三部分  </w:t>
      </w:r>
      <w:r>
        <w:rPr>
          <w:rFonts w:hint="default" w:ascii="黑体" w:hAnsi="ˎ̥" w:eastAsia="黑体"/>
          <w:color w:val="auto"/>
          <w:sz w:val="32"/>
          <w:szCs w:val="32"/>
          <w:lang w:val="en-US"/>
        </w:rPr>
        <w:t>2024</w:t>
      </w:r>
      <w:r>
        <w:rPr>
          <w:rFonts w:hint="eastAsia" w:ascii="黑体" w:hAnsi="ˎ̥" w:eastAsia="黑体"/>
          <w:color w:val="auto"/>
          <w:sz w:val="32"/>
          <w:szCs w:val="32"/>
        </w:rPr>
        <w:t>年度部门决算情况说明</w:t>
      </w:r>
      <w:bookmarkEnd w:id="71"/>
      <w:bookmarkEnd w:id="72"/>
      <w:bookmarkEnd w:id="73"/>
      <w:bookmarkEnd w:id="74"/>
      <w:bookmarkEnd w:id="75"/>
      <w:bookmarkEnd w:id="76"/>
    </w:p>
    <w:p>
      <w:pPr>
        <w:spacing w:line="578" w:lineRule="exact"/>
        <w:jc w:val="center"/>
        <w:rPr>
          <w:rFonts w:hint="eastAsia" w:ascii="黑体" w:hAnsi="ˎ̥" w:eastAsia="黑体"/>
          <w:color w:val="auto"/>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黑体" w:hAnsi="黑体" w:eastAsia="黑体" w:cs="黑体"/>
          <w:bCs/>
          <w:color w:val="auto"/>
          <w:sz w:val="32"/>
          <w:szCs w:val="32"/>
        </w:rPr>
        <w:t>一、收入支出总体情况说明</w:t>
      </w:r>
      <w:r>
        <w:rPr>
          <w:rFonts w:hint="eastAsia" w:ascii="黑体" w:hAnsi="黑体" w:eastAsia="黑体" w:cs="黑体"/>
          <w:bCs/>
          <w:color w:val="auto"/>
          <w:sz w:val="32"/>
          <w:szCs w:val="32"/>
        </w:rPr>
        <w:br w:type="textWrapping"/>
      </w:r>
      <w:r>
        <w:rPr>
          <w:rFonts w:hint="eastAsia" w:ascii="楷体_GB2312" w:hAnsi="ˎ̥" w:eastAsia="楷体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年度收入总计</w:t>
      </w:r>
      <w:r>
        <w:rPr>
          <w:rFonts w:hint="default" w:ascii="仿宋_GB2312" w:hAnsi="ˎ̥" w:eastAsia="仿宋_GB2312"/>
          <w:color w:val="auto"/>
          <w:sz w:val="32"/>
          <w:szCs w:val="32"/>
          <w:lang w:val="en-US"/>
        </w:rPr>
        <w:t>141.9</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141.9</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年度相比，收入、支出总计各增加</w:t>
      </w:r>
      <w:r>
        <w:rPr>
          <w:rFonts w:hint="eastAsia" w:ascii="仿宋_GB2312" w:hAnsi="ˎ̥" w:eastAsia="仿宋_GB2312"/>
          <w:color w:val="auto"/>
          <w:sz w:val="32"/>
          <w:szCs w:val="32"/>
          <w:lang w:val="en-US" w:eastAsia="zh-CN"/>
        </w:rPr>
        <w:t>14.4</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11.3</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eastAsia="zh-CN"/>
        </w:rPr>
        <w:t>全年在职人员在编在岗，人员稳定，其工资、社保、住房公积金等正常支出</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auto"/>
          <w:sz w:val="32"/>
          <w:szCs w:val="32"/>
        </w:rPr>
      </w:pPr>
      <w:r>
        <w:rPr>
          <w:rFonts w:hint="eastAsia" w:ascii="楷体" w:hAnsi="楷体" w:eastAsia="楷体" w:cs="楷体"/>
          <w:color w:val="auto"/>
          <w:sz w:val="32"/>
          <w:szCs w:val="32"/>
        </w:rPr>
        <w:t>（一</w:t>
      </w:r>
      <w:r>
        <w:rPr>
          <w:rFonts w:ascii="楷体" w:hAnsi="楷体" w:eastAsia="楷体" w:cs="楷体"/>
          <w:color w:val="auto"/>
          <w:sz w:val="32"/>
          <w:szCs w:val="32"/>
        </w:rPr>
        <w:t>）</w:t>
      </w:r>
      <w:r>
        <w:rPr>
          <w:rFonts w:hint="eastAsia" w:ascii="楷体" w:hAnsi="楷体" w:eastAsia="楷体" w:cs="楷体"/>
          <w:color w:val="auto"/>
          <w:sz w:val="32"/>
          <w:szCs w:val="32"/>
        </w:rPr>
        <w:t>收入</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w:t>
      </w:r>
      <w:r>
        <w:rPr>
          <w:rFonts w:hint="default" w:ascii="仿宋_GB2312" w:hAnsi="ˎ̥" w:eastAsia="仿宋_GB2312"/>
          <w:color w:val="auto"/>
          <w:sz w:val="32"/>
          <w:szCs w:val="32"/>
          <w:lang w:val="en-US"/>
        </w:rPr>
        <w:t>141.9</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eastAsia="zh-CN"/>
        </w:rPr>
        <w:t>持平</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年初结转结余</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eastAsia="zh-CN"/>
        </w:rPr>
        <w:t>持平</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rPr>
        <w:t>（二</w:t>
      </w:r>
      <w:r>
        <w:rPr>
          <w:rFonts w:ascii="楷体" w:hAnsi="楷体" w:eastAsia="楷体" w:cs="楷体"/>
          <w:color w:val="auto"/>
          <w:sz w:val="32"/>
          <w:szCs w:val="32"/>
        </w:rPr>
        <w:t>）</w:t>
      </w:r>
      <w:r>
        <w:rPr>
          <w:rFonts w:hint="eastAsia" w:ascii="楷体" w:hAnsi="楷体" w:eastAsia="楷体" w:cs="楷体"/>
          <w:color w:val="auto"/>
          <w:sz w:val="32"/>
          <w:szCs w:val="32"/>
        </w:rPr>
        <w:t>支出</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141.9</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结余分配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eastAsia="zh-CN"/>
        </w:rPr>
        <w:t>持平</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年末结转结余</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eastAsia="zh-CN"/>
        </w:rPr>
        <w:t>持平</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黑体" w:hAnsi="黑体" w:eastAsia="黑体" w:cs="黑体"/>
          <w:bCs/>
          <w:color w:val="auto"/>
          <w:sz w:val="32"/>
          <w:szCs w:val="32"/>
        </w:rPr>
        <w:t>二、收入决算情况说明</w:t>
      </w:r>
      <w:r>
        <w:rPr>
          <w:rFonts w:hint="eastAsia" w:ascii="黑体" w:hAnsi="黑体" w:eastAsia="黑体" w:cs="黑体"/>
          <w:bCs/>
          <w:color w:val="auto"/>
          <w:sz w:val="32"/>
          <w:szCs w:val="32"/>
        </w:rPr>
        <w:br w:type="textWrapping"/>
      </w:r>
      <w:r>
        <w:rPr>
          <w:rFonts w:hint="eastAsia" w:ascii="仿宋_GB2312" w:hAnsi="ˎ̥" w:eastAsia="仿宋_GB2312"/>
          <w:color w:val="auto"/>
          <w:sz w:val="32"/>
          <w:szCs w:val="32"/>
        </w:rPr>
        <w:t xml:space="preserve">    本年收入</w:t>
      </w:r>
      <w:r>
        <w:rPr>
          <w:rFonts w:hint="default" w:ascii="仿宋_GB2312" w:hAnsi="ˎ̥" w:eastAsia="仿宋_GB2312"/>
          <w:color w:val="auto"/>
          <w:sz w:val="32"/>
          <w:szCs w:val="32"/>
          <w:lang w:val="en-US"/>
        </w:rPr>
        <w:t>141.9</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141.9</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%；上级补助收入</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万元；事业收入</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万元；经营收入</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万元；附属单位上缴收入</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万元；其他收入</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141.9</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101.</w:t>
      </w:r>
      <w:r>
        <w:rPr>
          <w:rFonts w:hint="eastAsia" w:ascii="仿宋_GB2312" w:hAnsi="ˎ̥" w:eastAsia="仿宋_GB2312"/>
          <w:color w:val="auto"/>
          <w:sz w:val="32"/>
          <w:szCs w:val="32"/>
          <w:lang w:val="en-US" w:eastAsia="zh-CN"/>
        </w:rPr>
        <w:t>2</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71.3</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40.</w:t>
      </w:r>
      <w:r>
        <w:rPr>
          <w:rFonts w:hint="eastAsia" w:ascii="仿宋_GB2312" w:hAnsi="ˎ̥" w:eastAsia="仿宋_GB2312"/>
          <w:color w:val="auto"/>
          <w:sz w:val="32"/>
          <w:szCs w:val="32"/>
          <w:lang w:val="en-US" w:eastAsia="zh-CN"/>
        </w:rPr>
        <w:t>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28.7</w:t>
      </w:r>
      <w:r>
        <w:rPr>
          <w:rFonts w:hint="eastAsia" w:ascii="仿宋_GB2312" w:hAnsi="ˎ̥" w:eastAsia="仿宋_GB2312"/>
          <w:color w:val="auto"/>
          <w:sz w:val="32"/>
          <w:szCs w:val="32"/>
        </w:rPr>
        <w:t>%；上缴上级支出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万元；经营支出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万；对附属单位补助支出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141.9</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141.9</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年度相比，财政拨款收入增加</w:t>
      </w:r>
      <w:r>
        <w:rPr>
          <w:rFonts w:hint="eastAsia" w:ascii="仿宋_GB2312" w:hAnsi="ˎ̥" w:eastAsia="仿宋_GB2312"/>
          <w:color w:val="auto"/>
          <w:sz w:val="32"/>
          <w:szCs w:val="32"/>
          <w:lang w:val="en-US" w:eastAsia="zh-CN"/>
        </w:rPr>
        <w:t>14.4</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11.3</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eastAsia="zh-CN"/>
        </w:rPr>
        <w:t>是全年在职人员在编在岗，人员稳定，需要保障工资、社保、住房公积金等正常支出</w:t>
      </w:r>
      <w:r>
        <w:rPr>
          <w:rFonts w:hint="eastAsia" w:ascii="仿宋_GB2312" w:hAnsi="ˎ̥" w:eastAsia="仿宋_GB2312"/>
          <w:color w:val="auto"/>
          <w:sz w:val="32"/>
          <w:szCs w:val="32"/>
        </w:rPr>
        <w:t>。支出增加增加</w:t>
      </w:r>
      <w:r>
        <w:rPr>
          <w:rFonts w:hint="eastAsia" w:ascii="仿宋_GB2312" w:hAnsi="ˎ̥" w:eastAsia="仿宋_GB2312"/>
          <w:color w:val="auto"/>
          <w:sz w:val="32"/>
          <w:szCs w:val="32"/>
          <w:lang w:val="en-US" w:eastAsia="zh-CN"/>
        </w:rPr>
        <w:t>14.4</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11.3</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eastAsia="zh-CN"/>
        </w:rPr>
        <w:t>全年在职人员在编在岗，人员稳定，其工资、社保、住房公积金等正常支出</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eastAsia="zh-CN"/>
        </w:rPr>
        <w:t>持平</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财政拨款年末结转结余</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eastAsia="zh-CN"/>
        </w:rPr>
        <w:t>持平</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77" w:name="_Toc17398_WPSOffice_Level2"/>
      <w:bookmarkStart w:id="78" w:name="_Toc13694_WPSOffice_Level2"/>
      <w:bookmarkStart w:id="79" w:name="_Toc9989_WPSOffice_Level2"/>
      <w:bookmarkStart w:id="80" w:name="_Toc23005_WPSOffice_Level2"/>
      <w:bookmarkStart w:id="81" w:name="_Toc21737_WPSOffice_Level2"/>
      <w:bookmarkStart w:id="82" w:name="_Toc19665_WPSOffice_Level2"/>
      <w:r>
        <w:rPr>
          <w:rFonts w:hint="eastAsia" w:ascii="楷体" w:hAnsi="楷体" w:eastAsia="楷体" w:cs="楷体"/>
          <w:color w:val="auto"/>
          <w:sz w:val="32"/>
          <w:szCs w:val="32"/>
        </w:rPr>
        <w:t>（一）一般公共预算财政拨款支出决算总体情况</w:t>
      </w:r>
      <w:bookmarkEnd w:id="77"/>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141.9</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年度相比，一般公共预算财政拨款支出增加</w:t>
      </w:r>
      <w:r>
        <w:rPr>
          <w:rFonts w:hint="eastAsia" w:ascii="仿宋_GB2312" w:hAnsi="ˎ̥" w:eastAsia="仿宋_GB2312"/>
          <w:color w:val="auto"/>
          <w:sz w:val="32"/>
          <w:szCs w:val="32"/>
          <w:lang w:val="en-US" w:eastAsia="zh-CN"/>
        </w:rPr>
        <w:t>14.4</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11.3</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全年在职人员在编在岗，人员稳定，其工资、社保、住房公积金等正常支出</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3" w:name="_Toc2711_WPSOffice_Level2"/>
      <w:bookmarkStart w:id="84" w:name="_Toc18793_WPSOffice_Level2"/>
      <w:bookmarkStart w:id="85" w:name="_Toc27767_WPSOffice_Level2"/>
      <w:bookmarkStart w:id="86" w:name="_Toc23864_WPSOffice_Level2"/>
      <w:bookmarkStart w:id="87" w:name="_Toc19075_WPSOffice_Level2"/>
      <w:bookmarkStart w:id="88" w:name="_Toc19535_WPSOffice_Level2"/>
      <w:r>
        <w:rPr>
          <w:rFonts w:hint="eastAsia" w:ascii="楷体" w:hAnsi="楷体" w:eastAsia="楷体" w:cs="楷体"/>
          <w:color w:val="auto"/>
          <w:sz w:val="32"/>
          <w:szCs w:val="32"/>
        </w:rPr>
        <w:t>（二）一般公共预算财政拨款支出决算结构情况</w:t>
      </w:r>
      <w:bookmarkEnd w:id="83"/>
      <w:bookmarkEnd w:id="84"/>
      <w:bookmarkEnd w:id="85"/>
      <w:bookmarkEnd w:id="86"/>
      <w:bookmarkEnd w:id="87"/>
      <w:bookmarkEnd w:id="88"/>
    </w:p>
    <w:p>
      <w:pPr>
        <w:spacing w:line="578" w:lineRule="exact"/>
        <w:ind w:firstLine="640" w:firstLineChars="200"/>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141.9</w:t>
      </w:r>
      <w:r>
        <w:rPr>
          <w:rFonts w:hint="eastAsia" w:ascii="仿宋_GB2312" w:hAnsi="ˎ̥" w:eastAsia="仿宋_GB2312"/>
          <w:color w:val="auto"/>
          <w:sz w:val="32"/>
          <w:szCs w:val="32"/>
        </w:rPr>
        <w:t>万元，主要用于以下方面：</w:t>
      </w:r>
      <w:r>
        <w:rPr>
          <w:rFonts w:hint="eastAsia" w:ascii="仿宋_GB2312" w:hAnsi="ˎ̥" w:eastAsia="仿宋_GB2312"/>
          <w:b/>
          <w:color w:val="auto"/>
          <w:sz w:val="32"/>
          <w:szCs w:val="32"/>
        </w:rPr>
        <w:t>一般公共服务（类）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109</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76.8</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11.4</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8</w:t>
      </w:r>
      <w:r>
        <w:rPr>
          <w:rFonts w:hint="eastAsia" w:ascii="仿宋_GB2312" w:hAnsi="ˎ̥" w:eastAsia="仿宋_GB2312"/>
          <w:color w:val="auto"/>
          <w:sz w:val="32"/>
          <w:szCs w:val="32"/>
        </w:rPr>
        <w:t>%；</w:t>
      </w:r>
      <w:r>
        <w:rPr>
          <w:rFonts w:hint="eastAsia" w:ascii="仿宋_GB2312" w:hAnsi="ˎ̥" w:eastAsia="仿宋_GB2312"/>
          <w:b/>
          <w:bCs/>
          <w:color w:val="auto"/>
          <w:sz w:val="32"/>
          <w:szCs w:val="32"/>
        </w:rPr>
        <w:t>卫生健康支出</w:t>
      </w:r>
      <w:r>
        <w:rPr>
          <w:rFonts w:hint="eastAsia" w:ascii="仿宋_GB2312" w:hAnsi="ˎ̥" w:eastAsia="仿宋_GB2312"/>
          <w:b/>
          <w:bCs/>
          <w:color w:val="auto"/>
          <w:sz w:val="32"/>
          <w:szCs w:val="32"/>
          <w:lang w:eastAsia="zh-CN"/>
        </w:rPr>
        <w:t>（类）</w:t>
      </w:r>
      <w:r>
        <w:rPr>
          <w:rFonts w:hint="eastAsia" w:ascii="仿宋_GB2312" w:hAnsi="ˎ̥" w:eastAsia="仿宋_GB2312"/>
          <w:color w:val="auto"/>
          <w:sz w:val="32"/>
          <w:szCs w:val="32"/>
          <w:lang w:eastAsia="zh-CN"/>
        </w:rPr>
        <w:t>支出</w:t>
      </w:r>
      <w:r>
        <w:rPr>
          <w:rFonts w:hint="eastAsia" w:ascii="仿宋_GB2312" w:hAnsi="ˎ̥" w:eastAsia="仿宋_GB2312"/>
          <w:color w:val="auto"/>
          <w:sz w:val="32"/>
          <w:szCs w:val="32"/>
          <w:lang w:val="en-US" w:eastAsia="zh-CN"/>
        </w:rPr>
        <w:t>15万元，占10.6%；</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6.5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4.6</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9" w:name="_Toc22318_WPSOffice_Level2"/>
      <w:bookmarkStart w:id="90" w:name="_Toc21701_WPSOffice_Level2"/>
      <w:bookmarkStart w:id="91" w:name="_Toc25136_WPSOffice_Level2"/>
      <w:bookmarkStart w:id="92" w:name="_Toc29364_WPSOffice_Level2"/>
      <w:bookmarkStart w:id="93" w:name="_Toc15415_WPSOffice_Level2"/>
      <w:bookmarkStart w:id="94" w:name="_Toc9502_WPSOffice_Level2"/>
      <w:r>
        <w:rPr>
          <w:rFonts w:hint="eastAsia" w:ascii="楷体" w:hAnsi="楷体" w:eastAsia="楷体" w:cs="楷体"/>
          <w:color w:val="auto"/>
          <w:sz w:val="32"/>
          <w:szCs w:val="32"/>
        </w:rPr>
        <w:t>（三）一般公共预算财政拨款支出决算具体情况</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w:t>
      </w:r>
      <w:r>
        <w:rPr>
          <w:rFonts w:hint="eastAsia" w:ascii="仿宋_GB2312" w:hAnsi="ˎ̥" w:eastAsia="仿宋_GB2312"/>
          <w:color w:val="auto"/>
          <w:sz w:val="32"/>
          <w:szCs w:val="32"/>
          <w:lang w:val="en-US" w:eastAsia="zh-CN"/>
        </w:rPr>
        <w:t>147.5</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141.9</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99.7</w:t>
      </w:r>
      <w:r>
        <w:rPr>
          <w:rFonts w:hint="eastAsia" w:ascii="仿宋_GB2312" w:hAnsi="ˎ̥" w:eastAsia="仿宋_GB2312"/>
          <w:color w:val="auto"/>
          <w:sz w:val="32"/>
          <w:szCs w:val="32"/>
        </w:rPr>
        <w:t>%。其中：</w:t>
      </w:r>
    </w:p>
    <w:p>
      <w:pPr>
        <w:numPr>
          <w:ilvl w:val="0"/>
          <w:numId w:val="0"/>
        </w:numPr>
        <w:spacing w:line="578" w:lineRule="exact"/>
        <w:ind w:firstLine="643" w:firstLineChars="200"/>
        <w:rPr>
          <w:rFonts w:hint="eastAsia" w:ascii="仿宋_GB2312" w:hAnsi="ˎ̥" w:eastAsia="仿宋_GB2312"/>
          <w:b/>
          <w:color w:val="auto"/>
          <w:sz w:val="32"/>
          <w:szCs w:val="32"/>
        </w:rPr>
      </w:pPr>
      <w:r>
        <w:rPr>
          <w:rFonts w:hint="eastAsia" w:ascii="仿宋_GB2312" w:hAnsi="黑体" w:eastAsia="仿宋_GB2312" w:cs="仿宋_GB2312"/>
          <w:b/>
          <w:bCs/>
          <w:color w:val="auto"/>
          <w:sz w:val="32"/>
          <w:szCs w:val="32"/>
        </w:rPr>
        <w:t>1</w:t>
      </w:r>
      <w:r>
        <w:rPr>
          <w:rFonts w:hint="eastAsia" w:ascii="仿宋_GB2312" w:hAnsi="黑体" w:eastAsia="仿宋_GB2312" w:cs="仿宋_GB2312"/>
          <w:b/>
          <w:bCs/>
          <w:color w:val="auto"/>
          <w:sz w:val="32"/>
          <w:szCs w:val="32"/>
          <w:lang w:val="en-US" w:eastAsia="zh-CN"/>
        </w:rPr>
        <w:t>.</w:t>
      </w:r>
      <w:r>
        <w:rPr>
          <w:rFonts w:hint="eastAsia" w:ascii="仿宋_GB2312" w:hAnsi="黑体" w:eastAsia="仿宋_GB2312" w:cs="仿宋_GB2312"/>
          <w:b/>
          <w:bCs/>
          <w:color w:val="auto"/>
          <w:sz w:val="32"/>
          <w:szCs w:val="32"/>
        </w:rPr>
        <w:t>一般公共服务（类）党委办公厅（室）及相关机构事务（款）</w:t>
      </w:r>
      <w:r>
        <w:rPr>
          <w:rFonts w:hint="eastAsia" w:ascii="仿宋_GB2312" w:hAnsi="黑体" w:eastAsia="仿宋_GB2312" w:cs="仿宋_GB2312"/>
          <w:b/>
          <w:bCs/>
          <w:color w:val="auto"/>
          <w:sz w:val="32"/>
          <w:szCs w:val="32"/>
          <w:lang w:eastAsia="zh-CN"/>
        </w:rPr>
        <w:t>机关服务</w:t>
      </w:r>
      <w:r>
        <w:rPr>
          <w:rFonts w:hint="eastAsia" w:ascii="仿宋_GB2312" w:hAnsi="黑体" w:eastAsia="仿宋_GB2312" w:cs="仿宋_GB2312"/>
          <w:b/>
          <w:bCs/>
          <w:color w:val="auto"/>
          <w:sz w:val="32"/>
          <w:szCs w:val="32"/>
        </w:rPr>
        <w:t>（项）</w:t>
      </w:r>
      <w:r>
        <w:rPr>
          <w:rFonts w:hint="eastAsia" w:ascii="仿宋_GB2312" w:hAnsi="ˎ̥" w:eastAsia="仿宋_GB2312"/>
          <w:b/>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w:t>
      </w:r>
      <w:r>
        <w:rPr>
          <w:rFonts w:hint="eastAsia" w:ascii="仿宋_GB2312" w:hAnsi="ˎ̥" w:eastAsia="仿宋_GB2312" w:cs="Times New Roman"/>
          <w:color w:val="auto"/>
          <w:sz w:val="32"/>
          <w:szCs w:val="32"/>
        </w:rPr>
        <w:t>为</w:t>
      </w:r>
      <w:r>
        <w:rPr>
          <w:rFonts w:hint="eastAsia" w:ascii="仿宋_GB2312" w:hAnsi="ˎ̥" w:eastAsia="仿宋_GB2312" w:cs="Times New Roman"/>
          <w:color w:val="auto"/>
          <w:sz w:val="32"/>
          <w:szCs w:val="32"/>
          <w:lang w:val="en-US" w:eastAsia="zh-CN"/>
        </w:rPr>
        <w:t>109.6</w:t>
      </w:r>
      <w:r>
        <w:rPr>
          <w:rFonts w:hint="eastAsia" w:ascii="仿宋_GB2312" w:hAnsi="ˎ̥" w:eastAsia="仿宋_GB2312" w:cs="Times New Roman"/>
          <w:color w:val="auto"/>
          <w:sz w:val="32"/>
          <w:szCs w:val="32"/>
        </w:rPr>
        <w:t>万元，支出决算为</w:t>
      </w:r>
      <w:r>
        <w:rPr>
          <w:rFonts w:hint="eastAsia" w:ascii="仿宋_GB2312" w:hAnsi="ˎ̥" w:eastAsia="仿宋_GB2312" w:cs="Times New Roman"/>
          <w:color w:val="auto"/>
          <w:sz w:val="32"/>
          <w:szCs w:val="32"/>
          <w:lang w:val="en-US" w:eastAsia="zh-CN"/>
        </w:rPr>
        <w:t>109</w:t>
      </w:r>
      <w:r>
        <w:rPr>
          <w:rFonts w:hint="eastAsia" w:ascii="仿宋_GB2312" w:hAnsi="ˎ̥" w:eastAsia="仿宋_GB2312" w:cs="Times New Roman"/>
          <w:color w:val="auto"/>
          <w:sz w:val="32"/>
          <w:szCs w:val="32"/>
        </w:rPr>
        <w:t>万元，完成年初预算的</w:t>
      </w:r>
      <w:r>
        <w:rPr>
          <w:rFonts w:hint="eastAsia" w:ascii="仿宋_GB2312" w:hAnsi="ˎ̥" w:eastAsia="仿宋_GB2312" w:cs="Times New Roman"/>
          <w:color w:val="auto"/>
          <w:sz w:val="32"/>
          <w:szCs w:val="32"/>
          <w:lang w:val="en-US" w:eastAsia="zh-CN"/>
        </w:rPr>
        <w:t>99.5</w:t>
      </w:r>
      <w:r>
        <w:rPr>
          <w:rFonts w:hint="eastAsia" w:ascii="仿宋_GB2312" w:hAnsi="ˎ̥" w:eastAsia="仿宋_GB2312" w:cs="Times New Roman"/>
          <w:color w:val="auto"/>
          <w:sz w:val="32"/>
          <w:szCs w:val="32"/>
        </w:rPr>
        <w:t>%。决</w:t>
      </w:r>
      <w:r>
        <w:rPr>
          <w:rFonts w:hint="eastAsia" w:ascii="仿宋_GB2312" w:hAnsi="ˎ̥" w:eastAsia="仿宋_GB2312"/>
          <w:color w:val="auto"/>
          <w:sz w:val="32"/>
          <w:szCs w:val="32"/>
        </w:rPr>
        <w:t>算数小于预算数的主要原因是根据实际开展业务工作正常支出。</w:t>
      </w:r>
    </w:p>
    <w:p>
      <w:pPr>
        <w:numPr>
          <w:ilvl w:val="0"/>
          <w:numId w:val="0"/>
        </w:numPr>
        <w:ind w:firstLine="643" w:firstLineChars="200"/>
        <w:jc w:val="both"/>
        <w:rPr>
          <w:rFonts w:hint="eastAsia" w:ascii="仿宋_GB2312" w:hAnsi="ˎ̥" w:eastAsia="仿宋_GB2312"/>
          <w:b/>
          <w:color w:val="auto"/>
          <w:sz w:val="32"/>
          <w:szCs w:val="32"/>
          <w:lang w:eastAsia="zh-CN"/>
        </w:rPr>
      </w:pPr>
      <w:r>
        <w:rPr>
          <w:rFonts w:hint="eastAsia" w:ascii="仿宋_GB2312" w:hAnsi="ˎ̥" w:eastAsia="仿宋_GB2312"/>
          <w:b/>
          <w:color w:val="auto"/>
          <w:sz w:val="32"/>
          <w:szCs w:val="32"/>
          <w:lang w:val="en-US" w:eastAsia="zh-CN"/>
        </w:rPr>
        <w:t>2.</w:t>
      </w:r>
      <w:r>
        <w:rPr>
          <w:rFonts w:hint="eastAsia" w:ascii="仿宋_GB2312" w:hAnsi="ˎ̥" w:eastAsia="仿宋_GB2312"/>
          <w:b/>
          <w:color w:val="auto"/>
          <w:sz w:val="32"/>
          <w:szCs w:val="32"/>
        </w:rPr>
        <w:t>社会保障和就业支出(类)行政事业单位养老支出(款)机关事业单位基本养老保险缴费支出(项)</w:t>
      </w:r>
      <w:r>
        <w:rPr>
          <w:rFonts w:hint="eastAsia" w:ascii="仿宋_GB2312" w:hAnsi="ˎ̥" w:eastAsia="仿宋_GB2312"/>
          <w:b/>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8.8</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支出决算为</w:t>
      </w:r>
      <w:r>
        <w:rPr>
          <w:rFonts w:hint="eastAsia" w:ascii="仿宋_GB2312" w:hAnsi="黑体" w:eastAsia="仿宋_GB2312" w:cs="仿宋_GB2312"/>
          <w:color w:val="auto"/>
          <w:sz w:val="32"/>
          <w:szCs w:val="32"/>
          <w:lang w:val="en-US" w:eastAsia="zh-CN"/>
        </w:rPr>
        <w:t>7.5</w:t>
      </w:r>
      <w:r>
        <w:rPr>
          <w:rFonts w:hint="eastAsia" w:ascii="仿宋_GB2312" w:hAnsi="ˎ̥" w:eastAsia="仿宋_GB2312"/>
          <w:color w:val="auto"/>
          <w:sz w:val="32"/>
          <w:szCs w:val="32"/>
          <w:lang w:val="en-US" w:eastAsia="zh-CN"/>
        </w:rPr>
        <w:t>万元，完成年初预</w:t>
      </w:r>
      <w:r>
        <w:rPr>
          <w:rFonts w:hint="eastAsia" w:ascii="仿宋_GB2312" w:hAnsi="ˎ̥" w:eastAsia="仿宋_GB2312"/>
          <w:color w:val="auto"/>
          <w:sz w:val="32"/>
          <w:szCs w:val="32"/>
        </w:rPr>
        <w:t>预算的</w:t>
      </w:r>
      <w:r>
        <w:rPr>
          <w:rFonts w:hint="eastAsia" w:ascii="仿宋_GB2312" w:hAnsi="ˎ̥" w:eastAsia="仿宋_GB2312"/>
          <w:color w:val="auto"/>
          <w:sz w:val="32"/>
          <w:szCs w:val="32"/>
          <w:lang w:val="en-US" w:eastAsia="zh-CN"/>
        </w:rPr>
        <w:t>85.2</w:t>
      </w:r>
      <w:r>
        <w:rPr>
          <w:rFonts w:hint="eastAsia" w:ascii="仿宋_GB2312" w:hAnsi="ˎ̥" w:eastAsia="仿宋_GB2312"/>
          <w:color w:val="auto"/>
          <w:sz w:val="32"/>
          <w:szCs w:val="32"/>
        </w:rPr>
        <w:t>%。决算数小于预算数的主要原因是</w:t>
      </w:r>
      <w:r>
        <w:rPr>
          <w:rFonts w:hint="eastAsia" w:ascii="仿宋_GB2312" w:hAnsi="ˎ̥" w:eastAsia="仿宋_GB2312"/>
          <w:color w:val="auto"/>
          <w:sz w:val="32"/>
          <w:szCs w:val="32"/>
          <w:lang w:eastAsia="zh-CN"/>
        </w:rPr>
        <w:t>依据单位基本养老保险缴费正常支出。</w:t>
      </w:r>
    </w:p>
    <w:p>
      <w:pPr>
        <w:numPr>
          <w:ilvl w:val="0"/>
          <w:numId w:val="0"/>
        </w:numPr>
        <w:ind w:firstLine="643" w:firstLineChars="200"/>
        <w:jc w:val="both"/>
        <w:rPr>
          <w:rFonts w:hint="eastAsia" w:ascii="仿宋_GB2312" w:hAnsi="ˎ̥" w:eastAsia="仿宋_GB2312"/>
          <w:b/>
          <w:color w:val="auto"/>
          <w:sz w:val="32"/>
          <w:szCs w:val="32"/>
          <w:lang w:eastAsia="zh-CN"/>
        </w:rPr>
      </w:pPr>
      <w:r>
        <w:rPr>
          <w:rFonts w:hint="eastAsia" w:ascii="仿宋_GB2312" w:hAnsi="ˎ̥" w:eastAsia="仿宋_GB2312"/>
          <w:b/>
          <w:color w:val="auto"/>
          <w:sz w:val="32"/>
          <w:szCs w:val="32"/>
          <w:lang w:val="en-US" w:eastAsia="zh-CN"/>
        </w:rPr>
        <w:t>3.</w:t>
      </w:r>
      <w:r>
        <w:rPr>
          <w:rFonts w:hint="eastAsia" w:ascii="仿宋_GB2312" w:hAnsi="ˎ̥" w:eastAsia="仿宋_GB2312"/>
          <w:b/>
          <w:color w:val="auto"/>
          <w:sz w:val="32"/>
          <w:szCs w:val="32"/>
        </w:rPr>
        <w:t>社会保障和就业支出(类)行政事业单位养老支出(款)机关事业单位</w:t>
      </w:r>
      <w:r>
        <w:rPr>
          <w:rFonts w:hint="eastAsia" w:ascii="仿宋_GB2312" w:hAnsi="ˎ̥" w:eastAsia="仿宋_GB2312"/>
          <w:b/>
          <w:color w:val="auto"/>
          <w:sz w:val="32"/>
          <w:szCs w:val="32"/>
          <w:lang w:eastAsia="zh-CN"/>
        </w:rPr>
        <w:t>职业年金</w:t>
      </w:r>
      <w:r>
        <w:rPr>
          <w:rFonts w:hint="eastAsia" w:ascii="仿宋_GB2312" w:hAnsi="ˎ̥" w:eastAsia="仿宋_GB2312"/>
          <w:b/>
          <w:color w:val="auto"/>
          <w:sz w:val="32"/>
          <w:szCs w:val="32"/>
        </w:rPr>
        <w:t>缴费支出(项)</w:t>
      </w:r>
      <w:r>
        <w:rPr>
          <w:rFonts w:hint="eastAsia" w:ascii="仿宋_GB2312" w:hAnsi="ˎ̥" w:eastAsia="仿宋_GB2312"/>
          <w:b/>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4.4</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支出决算为</w:t>
      </w:r>
      <w:r>
        <w:rPr>
          <w:rFonts w:hint="eastAsia" w:ascii="仿宋_GB2312" w:hAnsi="黑体" w:eastAsia="仿宋_GB2312" w:cs="仿宋_GB2312"/>
          <w:color w:val="auto"/>
          <w:sz w:val="32"/>
          <w:szCs w:val="32"/>
          <w:lang w:val="en-US" w:eastAsia="zh-CN"/>
        </w:rPr>
        <w:t>3.9</w:t>
      </w:r>
      <w:r>
        <w:rPr>
          <w:rFonts w:hint="eastAsia" w:ascii="仿宋_GB2312" w:hAnsi="ˎ̥" w:eastAsia="仿宋_GB2312"/>
          <w:color w:val="auto"/>
          <w:sz w:val="32"/>
          <w:szCs w:val="32"/>
          <w:lang w:val="en-US" w:eastAsia="zh-CN"/>
        </w:rPr>
        <w:t>万元，完成年初预</w:t>
      </w:r>
      <w:r>
        <w:rPr>
          <w:rFonts w:hint="eastAsia" w:ascii="仿宋_GB2312" w:hAnsi="ˎ̥" w:eastAsia="仿宋_GB2312"/>
          <w:color w:val="auto"/>
          <w:sz w:val="32"/>
          <w:szCs w:val="32"/>
        </w:rPr>
        <w:t>预算的</w:t>
      </w:r>
      <w:r>
        <w:rPr>
          <w:rFonts w:hint="eastAsia" w:ascii="仿宋_GB2312" w:hAnsi="ˎ̥" w:eastAsia="仿宋_GB2312"/>
          <w:color w:val="auto"/>
          <w:sz w:val="32"/>
          <w:szCs w:val="32"/>
          <w:lang w:val="en-US" w:eastAsia="zh-CN"/>
        </w:rPr>
        <w:t>89.1</w:t>
      </w:r>
      <w:r>
        <w:rPr>
          <w:rFonts w:hint="eastAsia" w:ascii="仿宋_GB2312" w:hAnsi="ˎ̥" w:eastAsia="仿宋_GB2312"/>
          <w:color w:val="auto"/>
          <w:sz w:val="32"/>
          <w:szCs w:val="32"/>
        </w:rPr>
        <w:t>%。决算数小于预算数的主要原因是</w:t>
      </w:r>
      <w:r>
        <w:rPr>
          <w:rFonts w:hint="eastAsia" w:ascii="仿宋_GB2312" w:hAnsi="ˎ̥" w:eastAsia="仿宋_GB2312"/>
          <w:color w:val="auto"/>
          <w:sz w:val="32"/>
          <w:szCs w:val="32"/>
          <w:lang w:eastAsia="zh-CN"/>
        </w:rPr>
        <w:t>依据单位职业年金缴费正常支出。</w:t>
      </w:r>
    </w:p>
    <w:p>
      <w:pPr>
        <w:numPr>
          <w:ilvl w:val="0"/>
          <w:numId w:val="0"/>
        </w:numPr>
        <w:spacing w:line="578" w:lineRule="exact"/>
        <w:ind w:firstLine="643" w:firstLineChars="200"/>
        <w:rPr>
          <w:rFonts w:hint="eastAsia" w:ascii="仿宋_GB2312" w:hAnsi="ˎ̥" w:eastAsia="仿宋_GB2312"/>
          <w:b/>
          <w:color w:val="auto"/>
          <w:sz w:val="32"/>
          <w:szCs w:val="32"/>
          <w:lang w:val="en-US" w:eastAsia="zh-CN"/>
        </w:rPr>
      </w:pPr>
      <w:r>
        <w:rPr>
          <w:rFonts w:hint="eastAsia" w:ascii="仿宋_GB2312" w:hAnsi="ˎ̥" w:eastAsia="仿宋_GB2312"/>
          <w:b/>
          <w:color w:val="auto"/>
          <w:sz w:val="32"/>
          <w:szCs w:val="32"/>
          <w:lang w:val="en-US" w:eastAsia="zh-CN"/>
        </w:rPr>
        <w:t>4.卫生健康支出（类）行政事业单位医疗（款）事业单位医疗（项）。</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lang w:val="en-US" w:eastAsia="zh-CN"/>
        </w:rPr>
        <w:t>年初预算数为4.1万元，支出决算数为3.2万元，完成年初预算的78%。</w:t>
      </w:r>
      <w:r>
        <w:rPr>
          <w:rFonts w:hint="eastAsia" w:ascii="仿宋_GB2312" w:hAnsi="ˎ̥" w:eastAsia="仿宋_GB2312"/>
          <w:color w:val="auto"/>
          <w:sz w:val="32"/>
          <w:szCs w:val="32"/>
        </w:rPr>
        <w:t>决算数</w:t>
      </w:r>
      <w:r>
        <w:rPr>
          <w:rFonts w:hint="eastAsia" w:ascii="仿宋_GB2312" w:hAnsi="ˎ̥" w:eastAsia="仿宋_GB2312"/>
          <w:color w:val="auto"/>
          <w:sz w:val="32"/>
          <w:szCs w:val="32"/>
          <w:lang w:eastAsia="zh-CN"/>
        </w:rPr>
        <w:t>小</w:t>
      </w:r>
      <w:r>
        <w:rPr>
          <w:rFonts w:hint="eastAsia" w:ascii="仿宋_GB2312" w:hAnsi="ˎ̥" w:eastAsia="仿宋_GB2312"/>
          <w:color w:val="auto"/>
          <w:sz w:val="32"/>
          <w:szCs w:val="32"/>
        </w:rPr>
        <w:t>于预算数的主要原因</w:t>
      </w:r>
      <w:r>
        <w:rPr>
          <w:rFonts w:hint="eastAsia" w:ascii="仿宋_GB2312" w:hAnsi="ˎ̥" w:eastAsia="仿宋_GB2312"/>
          <w:color w:val="auto"/>
          <w:sz w:val="32"/>
          <w:szCs w:val="32"/>
          <w:lang w:eastAsia="zh-CN"/>
        </w:rPr>
        <w:t>依据单位基本医疗基数正常支出</w:t>
      </w:r>
      <w:r>
        <w:rPr>
          <w:rFonts w:hint="eastAsia" w:ascii="仿宋_GB2312" w:hAnsi="ˎ̥" w:eastAsia="仿宋_GB2312"/>
          <w:color w:val="auto"/>
          <w:sz w:val="32"/>
          <w:szCs w:val="32"/>
        </w:rPr>
        <w:t>。</w:t>
      </w:r>
    </w:p>
    <w:p>
      <w:pPr>
        <w:numPr>
          <w:ilvl w:val="0"/>
          <w:numId w:val="0"/>
        </w:numPr>
        <w:ind w:firstLine="643" w:firstLineChars="200"/>
        <w:rPr>
          <w:rFonts w:hint="eastAsia" w:ascii="仿宋_GB2312" w:hAnsi="ˎ̥" w:eastAsia="仿宋_GB2312"/>
          <w:b/>
          <w:color w:val="auto"/>
          <w:sz w:val="32"/>
          <w:szCs w:val="32"/>
          <w:lang w:val="en-US" w:eastAsia="zh-CN"/>
        </w:rPr>
      </w:pPr>
      <w:r>
        <w:rPr>
          <w:rFonts w:hint="eastAsia" w:ascii="仿宋_GB2312" w:hAnsi="ˎ̥" w:eastAsia="仿宋_GB2312"/>
          <w:b/>
          <w:color w:val="auto"/>
          <w:sz w:val="32"/>
          <w:szCs w:val="32"/>
          <w:lang w:val="en-US" w:eastAsia="zh-CN"/>
        </w:rPr>
        <w:t>5.卫生健康支出（类）行政事业单位医疗（款）公务员医疗补助（项）。</w:t>
      </w:r>
    </w:p>
    <w:p>
      <w:pPr>
        <w:spacing w:line="578" w:lineRule="exact"/>
        <w:ind w:firstLine="640" w:firstLineChars="200"/>
        <w:rPr>
          <w:rFonts w:hint="eastAsia" w:ascii="仿宋_GB2312" w:hAnsi="ˎ̥" w:eastAsia="仿宋_GB2312"/>
          <w:color w:val="auto"/>
          <w:sz w:val="32"/>
          <w:szCs w:val="32"/>
        </w:rPr>
      </w:pPr>
      <w:r>
        <w:rPr>
          <w:rFonts w:hint="eastAsia" w:ascii="仿宋_GB2312" w:hAnsi="黑体" w:eastAsia="仿宋_GB2312" w:cs="仿宋_GB2312"/>
          <w:color w:val="auto"/>
          <w:sz w:val="32"/>
          <w:szCs w:val="32"/>
          <w:lang w:val="en-US" w:eastAsia="zh-CN"/>
        </w:rPr>
        <w:t>年初</w:t>
      </w:r>
      <w:r>
        <w:rPr>
          <w:rFonts w:hint="eastAsia" w:ascii="仿宋_GB2312" w:hAnsi="黑体" w:eastAsia="仿宋_GB2312"/>
          <w:color w:val="auto"/>
          <w:sz w:val="32"/>
          <w:szCs w:val="32"/>
        </w:rPr>
        <w:t>预算数为</w:t>
      </w:r>
      <w:r>
        <w:rPr>
          <w:rFonts w:hint="eastAsia" w:ascii="仿宋_GB2312" w:hAnsi="黑体" w:eastAsia="仿宋_GB2312"/>
          <w:color w:val="auto"/>
          <w:sz w:val="32"/>
          <w:szCs w:val="32"/>
          <w:lang w:val="en-US" w:eastAsia="zh-CN"/>
        </w:rPr>
        <w:t>13.9</w:t>
      </w:r>
      <w:r>
        <w:rPr>
          <w:rFonts w:hint="eastAsia" w:ascii="仿宋_GB2312" w:hAnsi="黑体" w:eastAsia="仿宋_GB2312"/>
          <w:color w:val="auto"/>
          <w:sz w:val="32"/>
          <w:szCs w:val="32"/>
        </w:rPr>
        <w:t>万元，</w:t>
      </w:r>
      <w:r>
        <w:rPr>
          <w:rFonts w:hint="eastAsia" w:ascii="仿宋_GB2312" w:hAnsi="ˎ̥" w:eastAsia="仿宋_GB2312"/>
          <w:color w:val="auto"/>
          <w:sz w:val="32"/>
          <w:szCs w:val="32"/>
          <w:lang w:val="en-US" w:eastAsia="zh-CN"/>
        </w:rPr>
        <w:t>支出决算数为11.8万元，完成年初预算的85%。</w:t>
      </w:r>
      <w:r>
        <w:rPr>
          <w:rFonts w:hint="eastAsia" w:ascii="仿宋_GB2312" w:hAnsi="ˎ̥" w:eastAsia="仿宋_GB2312"/>
          <w:color w:val="auto"/>
          <w:sz w:val="32"/>
          <w:szCs w:val="32"/>
        </w:rPr>
        <w:t>决算数</w:t>
      </w:r>
      <w:r>
        <w:rPr>
          <w:rFonts w:hint="eastAsia" w:ascii="仿宋_GB2312" w:hAnsi="ˎ̥" w:eastAsia="仿宋_GB2312"/>
          <w:color w:val="auto"/>
          <w:sz w:val="32"/>
          <w:szCs w:val="32"/>
          <w:lang w:eastAsia="zh-CN"/>
        </w:rPr>
        <w:t>小</w:t>
      </w:r>
      <w:r>
        <w:rPr>
          <w:rFonts w:hint="eastAsia" w:ascii="仿宋_GB2312" w:hAnsi="ˎ̥" w:eastAsia="仿宋_GB2312"/>
          <w:color w:val="auto"/>
          <w:sz w:val="32"/>
          <w:szCs w:val="32"/>
        </w:rPr>
        <w:t>于预算数的主要原因</w:t>
      </w:r>
      <w:r>
        <w:rPr>
          <w:rFonts w:hint="eastAsia" w:ascii="仿宋_GB2312" w:hAnsi="ˎ̥" w:eastAsia="仿宋_GB2312"/>
          <w:color w:val="auto"/>
          <w:sz w:val="32"/>
          <w:szCs w:val="32"/>
          <w:lang w:eastAsia="zh-CN"/>
        </w:rPr>
        <w:t>依据单位公务员医疗补助基数正常支出</w:t>
      </w:r>
      <w:r>
        <w:rPr>
          <w:rFonts w:hint="eastAsia" w:ascii="仿宋_GB2312" w:hAnsi="ˎ̥" w:eastAsia="仿宋_GB2312"/>
          <w:color w:val="auto"/>
          <w:sz w:val="32"/>
          <w:szCs w:val="32"/>
        </w:rPr>
        <w:t>。</w:t>
      </w:r>
    </w:p>
    <w:p>
      <w:pPr>
        <w:numPr>
          <w:ilvl w:val="0"/>
          <w:numId w:val="0"/>
        </w:numPr>
        <w:spacing w:line="578" w:lineRule="exact"/>
        <w:ind w:leftChars="304"/>
        <w:rPr>
          <w:rFonts w:hint="eastAsia" w:ascii="仿宋_GB2312" w:hAnsi="ˎ̥" w:eastAsia="仿宋_GB2312"/>
          <w:color w:val="auto"/>
          <w:sz w:val="32"/>
          <w:szCs w:val="32"/>
          <w:lang w:val="en-US" w:eastAsia="zh-CN"/>
        </w:rPr>
      </w:pPr>
      <w:r>
        <w:rPr>
          <w:rFonts w:hint="eastAsia" w:ascii="仿宋_GB2312" w:hAnsi="ˎ̥" w:eastAsia="仿宋_GB2312"/>
          <w:b/>
          <w:color w:val="auto"/>
          <w:sz w:val="32"/>
          <w:szCs w:val="32"/>
          <w:lang w:val="en-US" w:eastAsia="zh-CN"/>
        </w:rPr>
        <w:t>6.住房保障支出（类）住房改革支出（款）住房公积金（项）。</w:t>
      </w:r>
      <w:r>
        <w:rPr>
          <w:rFonts w:hint="eastAsia" w:ascii="仿宋_GB2312" w:hAnsi="黑体" w:eastAsia="仿宋_GB2312" w:cs="仿宋_GB2312"/>
          <w:color w:val="auto"/>
          <w:sz w:val="32"/>
          <w:szCs w:val="32"/>
          <w:lang w:val="en-US" w:eastAsia="zh-CN"/>
        </w:rPr>
        <w:t>年初</w:t>
      </w:r>
      <w:r>
        <w:rPr>
          <w:rFonts w:hint="eastAsia" w:ascii="仿宋_GB2312" w:hAnsi="黑体" w:eastAsia="仿宋_GB2312"/>
          <w:color w:val="auto"/>
          <w:sz w:val="32"/>
          <w:szCs w:val="32"/>
        </w:rPr>
        <w:t>预算数为</w:t>
      </w:r>
      <w:r>
        <w:rPr>
          <w:rFonts w:hint="eastAsia" w:ascii="仿宋_GB2312" w:hAnsi="黑体" w:eastAsia="仿宋_GB2312"/>
          <w:color w:val="auto"/>
          <w:sz w:val="32"/>
          <w:szCs w:val="32"/>
          <w:lang w:val="en-US" w:eastAsia="zh-CN"/>
        </w:rPr>
        <w:t>6.7</w:t>
      </w:r>
      <w:r>
        <w:rPr>
          <w:rFonts w:hint="eastAsia" w:ascii="仿宋_GB2312" w:hAnsi="黑体" w:eastAsia="仿宋_GB2312"/>
          <w:color w:val="auto"/>
          <w:sz w:val="32"/>
          <w:szCs w:val="32"/>
        </w:rPr>
        <w:t>万元，</w:t>
      </w:r>
      <w:r>
        <w:rPr>
          <w:rFonts w:hint="eastAsia" w:ascii="仿宋_GB2312" w:hAnsi="ˎ̥" w:eastAsia="仿宋_GB2312"/>
          <w:color w:val="auto"/>
          <w:sz w:val="32"/>
          <w:szCs w:val="32"/>
          <w:lang w:val="en-US" w:eastAsia="zh-CN"/>
        </w:rPr>
        <w:t>支出决算数为6.5万元，完成</w:t>
      </w:r>
    </w:p>
    <w:p>
      <w:pPr>
        <w:numPr>
          <w:ilvl w:val="0"/>
          <w:numId w:val="0"/>
        </w:numPr>
        <w:spacing w:line="578" w:lineRule="exact"/>
        <w:rPr>
          <w:rFonts w:hint="eastAsia" w:ascii="仿宋_GB2312" w:hAnsi="ˎ̥" w:eastAsia="仿宋_GB2312"/>
          <w:color w:val="auto"/>
          <w:sz w:val="32"/>
          <w:szCs w:val="32"/>
        </w:rPr>
      </w:pPr>
      <w:r>
        <w:rPr>
          <w:rFonts w:hint="eastAsia" w:ascii="仿宋_GB2312" w:hAnsi="ˎ̥" w:eastAsia="仿宋_GB2312"/>
          <w:color w:val="auto"/>
          <w:sz w:val="32"/>
          <w:szCs w:val="32"/>
          <w:lang w:val="en-US" w:eastAsia="zh-CN"/>
        </w:rPr>
        <w:t>年初预算的97%。</w:t>
      </w:r>
      <w:r>
        <w:rPr>
          <w:rFonts w:hint="eastAsia" w:ascii="仿宋_GB2312" w:hAnsi="ˎ̥" w:eastAsia="仿宋_GB2312"/>
          <w:color w:val="auto"/>
          <w:sz w:val="32"/>
          <w:szCs w:val="32"/>
        </w:rPr>
        <w:t>决算数</w:t>
      </w:r>
      <w:r>
        <w:rPr>
          <w:rFonts w:hint="eastAsia" w:ascii="仿宋_GB2312" w:hAnsi="ˎ̥" w:eastAsia="仿宋_GB2312"/>
          <w:color w:val="auto"/>
          <w:sz w:val="32"/>
          <w:szCs w:val="32"/>
          <w:lang w:eastAsia="zh-CN"/>
        </w:rPr>
        <w:t>小</w:t>
      </w:r>
      <w:r>
        <w:rPr>
          <w:rFonts w:hint="eastAsia" w:ascii="仿宋_GB2312" w:hAnsi="ˎ̥" w:eastAsia="仿宋_GB2312"/>
          <w:color w:val="auto"/>
          <w:sz w:val="32"/>
          <w:szCs w:val="32"/>
        </w:rPr>
        <w:t>于预算数的主要原因</w:t>
      </w:r>
      <w:r>
        <w:rPr>
          <w:rFonts w:hint="eastAsia" w:ascii="仿宋_GB2312" w:hAnsi="ˎ̥" w:eastAsia="仿宋_GB2312"/>
          <w:color w:val="auto"/>
          <w:sz w:val="32"/>
          <w:szCs w:val="32"/>
          <w:lang w:eastAsia="zh-CN"/>
        </w:rPr>
        <w:t>依据单位住房公积金基数正常支出</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auto"/>
          <w:sz w:val="32"/>
          <w:szCs w:val="32"/>
        </w:rPr>
      </w:pPr>
      <w:r>
        <w:rPr>
          <w:rFonts w:hint="eastAsia" w:ascii="黑体" w:hAnsi="黑体" w:eastAsia="黑体" w:cs="黑体"/>
          <w:bCs/>
          <w:color w:val="auto"/>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eastAsia="zh-CN"/>
        </w:rPr>
        <w:t>101.1</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88.4</w:t>
      </w:r>
      <w:r>
        <w:rPr>
          <w:rFonts w:hint="eastAsia" w:ascii="仿宋_GB2312" w:hAnsi="ˎ̥" w:eastAsia="仿宋_GB2312"/>
          <w:color w:val="auto"/>
          <w:sz w:val="32"/>
          <w:szCs w:val="32"/>
        </w:rPr>
        <w:t>万元，主要包括：工资福利支出中的基本工资、津贴补贴、奖金、机关事业单位基本养老保险缴费、职业年金缴费、职工基本医疗保险缴费、公务员医疗补助缴费、其他社会保障缴费、住房公积金、其他工资福利支出；对个人和家庭的补助中的离休费、奖励金。公用经费</w:t>
      </w:r>
      <w:r>
        <w:rPr>
          <w:rFonts w:ascii="仿宋_GB2312" w:hAnsi="ˎ̥" w:eastAsia="仿宋_GB2312"/>
          <w:color w:val="auto"/>
          <w:sz w:val="32"/>
          <w:szCs w:val="32"/>
          <w:lang w:val="en-US"/>
        </w:rPr>
        <w:t>12.7</w:t>
      </w:r>
      <w:r>
        <w:rPr>
          <w:rFonts w:hint="eastAsia" w:ascii="仿宋_GB2312" w:hAnsi="ˎ̥" w:eastAsia="仿宋_GB2312"/>
          <w:color w:val="auto"/>
          <w:sz w:val="32"/>
          <w:szCs w:val="32"/>
        </w:rPr>
        <w:t>万元，主要包括：商品和服务支出中的办公费、手续费、电费、邮电费、物业管理费、差旅费、维修（护）费、租赁费、专用材料费、工会经费、公务用车运行维护费、其他交通费用、其他商品和服务支出</w:t>
      </w:r>
      <w:r>
        <w:rPr>
          <w:rFonts w:hint="eastAsia" w:ascii="仿宋_GB2312" w:hAnsi="ˎ̥" w:eastAsia="仿宋_GB2312"/>
          <w:color w:val="auto"/>
          <w:sz w:val="32"/>
          <w:szCs w:val="32"/>
          <w:lang w:eastAsia="zh-CN"/>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年度相比，政府性基金预算财政拨款支出</w:t>
      </w:r>
      <w:r>
        <w:rPr>
          <w:rFonts w:hint="eastAsia" w:ascii="仿宋_GB2312" w:hAnsi="ˎ̥" w:eastAsia="仿宋_GB2312"/>
          <w:color w:val="auto"/>
          <w:sz w:val="32"/>
          <w:szCs w:val="32"/>
          <w:lang w:eastAsia="zh-CN"/>
        </w:rPr>
        <w:t>持平</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val="en-US"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年度相比，国有资本经营预算财政拨款支出</w:t>
      </w:r>
      <w:r>
        <w:rPr>
          <w:rFonts w:hint="eastAsia" w:ascii="仿宋_GB2312" w:hAnsi="ˎ̥" w:eastAsia="仿宋_GB2312"/>
          <w:color w:val="auto"/>
          <w:sz w:val="32"/>
          <w:szCs w:val="32"/>
          <w:lang w:eastAsia="zh-CN"/>
        </w:rPr>
        <w:t>持平</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（三）国有资本经营预算财政拨款支出决算具体情况</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val="en-US"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auto"/>
          <w:sz w:val="32"/>
          <w:szCs w:val="32"/>
        </w:rPr>
      </w:pPr>
      <w:r>
        <w:rPr>
          <w:rFonts w:hint="eastAsia" w:ascii="黑体" w:hAnsi="黑体" w:eastAsia="黑体" w:cs="黑体"/>
          <w:bCs/>
          <w:color w:val="auto"/>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1</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w:t>
      </w:r>
      <w:r>
        <w:rPr>
          <w:rFonts w:hint="eastAsia" w:ascii="仿宋_GB2312" w:hAnsi="ˎ̥" w:eastAsia="仿宋_GB2312"/>
          <w:color w:val="auto"/>
          <w:sz w:val="32"/>
          <w:szCs w:val="32"/>
          <w:lang w:val="en-US" w:eastAsia="zh-CN"/>
        </w:rPr>
        <w:t>8</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80</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“三公”经费支出增加</w:t>
      </w:r>
      <w:r>
        <w:rPr>
          <w:rFonts w:hint="eastAsia" w:ascii="仿宋_GB2312" w:hAnsi="ˎ̥" w:eastAsia="仿宋_GB2312"/>
          <w:color w:val="auto"/>
          <w:sz w:val="32"/>
          <w:szCs w:val="32"/>
          <w:lang w:val="en-US" w:eastAsia="zh-CN"/>
        </w:rPr>
        <w:t>0.21</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lang w:val="en-US" w:eastAsia="zh-CN"/>
        </w:rPr>
        <w:t>35.6</w:t>
      </w:r>
      <w:r>
        <w:rPr>
          <w:rFonts w:hint="eastAsia" w:ascii="仿宋_GB2312" w:hAnsi="ˎ̥" w:eastAsia="仿宋_GB2312"/>
          <w:color w:val="auto"/>
          <w:sz w:val="32"/>
          <w:szCs w:val="32"/>
        </w:rPr>
        <w:t>%，</w:t>
      </w:r>
      <w:r>
        <w:rPr>
          <w:rFonts w:ascii="仿宋_GB2312" w:hAnsi="ˎ̥" w:eastAsia="仿宋_GB2312"/>
          <w:color w:val="auto"/>
          <w:sz w:val="32"/>
          <w:szCs w:val="32"/>
        </w:rPr>
        <w:t>主要原因是</w:t>
      </w:r>
      <w:r>
        <w:rPr>
          <w:rFonts w:hint="eastAsia" w:ascii="仿宋_GB2312" w:hAnsi="ˎ̥" w:eastAsia="仿宋_GB2312"/>
          <w:color w:val="auto"/>
          <w:sz w:val="32"/>
          <w:szCs w:val="32"/>
          <w:lang w:eastAsia="zh-CN"/>
        </w:rPr>
        <w:t>公务用车运行维护费增长</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auto"/>
          <w:sz w:val="32"/>
          <w:szCs w:val="32"/>
        </w:rPr>
      </w:pPr>
      <w:r>
        <w:rPr>
          <w:rFonts w:hint="eastAsia" w:ascii="楷体" w:hAnsi="楷体" w:eastAsia="楷体" w:cs="楷体"/>
          <w:b/>
          <w:bCs/>
          <w:color w:val="auto"/>
          <w:sz w:val="32"/>
          <w:szCs w:val="32"/>
        </w:rPr>
        <w:t xml:space="preserve">   </w:t>
      </w:r>
      <w:r>
        <w:rPr>
          <w:rFonts w:hint="eastAsia" w:ascii="楷体" w:hAnsi="楷体" w:eastAsia="楷体" w:cs="楷体"/>
          <w:color w:val="auto"/>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年度财政拨款“三公”经费支出决算中，因公出国（境）费支出决算</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万元；公务用车购置及运行维护费支出决算</w:t>
      </w:r>
      <w:r>
        <w:rPr>
          <w:rFonts w:hint="default" w:ascii="仿宋_GB2312" w:hAnsi="ˎ̥" w:eastAsia="仿宋_GB2312"/>
          <w:color w:val="auto"/>
          <w:sz w:val="32"/>
          <w:szCs w:val="32"/>
          <w:lang w:val="en-US"/>
        </w:rPr>
        <w:t>0.</w:t>
      </w:r>
      <w:r>
        <w:rPr>
          <w:rFonts w:hint="eastAsia" w:ascii="仿宋_GB2312" w:hAnsi="ˎ̥" w:eastAsia="仿宋_GB2312"/>
          <w:color w:val="auto"/>
          <w:sz w:val="32"/>
          <w:szCs w:val="32"/>
          <w:lang w:val="en-US" w:eastAsia="zh-CN"/>
        </w:rPr>
        <w:t>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%；公务接待费支出决算</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1.因公出国（境）费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万元。全年安排因公出国（境）团组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个，因公出国（境）</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因公出国（境）费支出决算</w:t>
      </w:r>
      <w:r>
        <w:rPr>
          <w:rFonts w:hint="eastAsia" w:ascii="仿宋_GB2312" w:hAnsi="ˎ̥" w:eastAsia="仿宋_GB2312"/>
          <w:color w:val="auto"/>
          <w:sz w:val="32"/>
          <w:szCs w:val="32"/>
          <w:lang w:val="en-US" w:eastAsia="zh-CN"/>
        </w:rPr>
        <w:t>数</w:t>
      </w:r>
      <w:r>
        <w:rPr>
          <w:rFonts w:hint="eastAsia" w:ascii="仿宋_GB2312" w:hAnsi="ˎ̥" w:eastAsia="仿宋_GB2312"/>
          <w:color w:val="auto"/>
          <w:sz w:val="32"/>
          <w:szCs w:val="32"/>
        </w:rPr>
        <w:t>比预算数</w:t>
      </w:r>
      <w:r>
        <w:rPr>
          <w:rFonts w:hint="eastAsia" w:ascii="仿宋_GB2312" w:hAnsi="ˎ̥" w:eastAsia="仿宋_GB2312"/>
          <w:color w:val="auto"/>
          <w:sz w:val="32"/>
          <w:szCs w:val="32"/>
          <w:lang w:eastAsia="zh-CN"/>
        </w:rPr>
        <w:t>持平</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因公出国（境）费支出</w:t>
      </w:r>
      <w:r>
        <w:rPr>
          <w:rFonts w:hint="eastAsia" w:ascii="仿宋_GB2312" w:hAnsi="ˎ̥" w:eastAsia="仿宋_GB2312"/>
          <w:color w:val="auto"/>
          <w:sz w:val="32"/>
          <w:szCs w:val="32"/>
          <w:lang w:eastAsia="zh-CN"/>
        </w:rPr>
        <w:t>持平</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2.公务用车购置及运行维护费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w:t>
      </w:r>
      <w:r>
        <w:rPr>
          <w:rFonts w:hint="eastAsia" w:ascii="仿宋_GB2312" w:hAnsi="ˎ̥" w:eastAsia="仿宋_GB2312"/>
          <w:color w:val="auto"/>
          <w:sz w:val="32"/>
          <w:szCs w:val="32"/>
          <w:lang w:val="en-US" w:eastAsia="zh-CN"/>
        </w:rPr>
        <w:t>8</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公务用车购置</w:t>
      </w:r>
      <w:r>
        <w:rPr>
          <w:rFonts w:hint="eastAsia" w:ascii="仿宋_GB2312" w:hAnsi="ˎ̥" w:eastAsia="仿宋_GB2312"/>
          <w:b w:val="0"/>
          <w:bCs/>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万元，全年购置公务用车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辆，年末公务用车保有量</w:t>
      </w: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公务用车运行维护费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w:t>
      </w:r>
      <w:r>
        <w:rPr>
          <w:rFonts w:hint="eastAsia" w:ascii="仿宋_GB2312" w:hAnsi="ˎ̥" w:eastAsia="仿宋_GB2312"/>
          <w:color w:val="auto"/>
          <w:sz w:val="32"/>
          <w:szCs w:val="32"/>
          <w:lang w:val="en-US" w:eastAsia="zh-CN"/>
        </w:rPr>
        <w:t>8</w:t>
      </w:r>
      <w:r>
        <w:rPr>
          <w:rFonts w:hint="eastAsia" w:ascii="仿宋_GB2312" w:hAnsi="ˎ̥" w:eastAsia="仿宋_GB2312"/>
          <w:color w:val="auto"/>
          <w:sz w:val="32"/>
          <w:szCs w:val="32"/>
        </w:rPr>
        <w:t>万元，主要用于</w:t>
      </w:r>
      <w:r>
        <w:rPr>
          <w:rFonts w:hint="eastAsia" w:ascii="仿宋_GB2312" w:hAnsi="ˎ̥" w:eastAsia="仿宋_GB2312"/>
          <w:color w:val="auto"/>
          <w:sz w:val="32"/>
          <w:szCs w:val="32"/>
          <w:lang w:eastAsia="zh-CN"/>
        </w:rPr>
        <w:t>公务用车日常维修</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color w:val="auto"/>
          <w:sz w:val="32"/>
          <w:szCs w:val="32"/>
        </w:rPr>
      </w:pPr>
      <w:r>
        <w:rPr>
          <w:rFonts w:hint="eastAsia" w:ascii="仿宋_GB2312" w:hAnsi="ˎ̥" w:eastAsia="仿宋_GB2312"/>
          <w:bCs/>
          <w:color w:val="auto"/>
          <w:sz w:val="32"/>
          <w:szCs w:val="32"/>
        </w:rPr>
        <w:t>公务用车购置及运行维护费支出决算数</w:t>
      </w:r>
      <w:r>
        <w:rPr>
          <w:rFonts w:hint="eastAsia" w:ascii="仿宋_GB2312" w:hAnsi="ˎ̥" w:eastAsia="仿宋_GB2312"/>
          <w:color w:val="auto"/>
          <w:sz w:val="32"/>
          <w:szCs w:val="32"/>
        </w:rPr>
        <w:t>比预算数减少</w:t>
      </w:r>
      <w:r>
        <w:rPr>
          <w:rFonts w:hint="eastAsia" w:ascii="仿宋_GB2312" w:hAnsi="ˎ̥" w:eastAsia="仿宋_GB2312"/>
          <w:color w:val="auto"/>
          <w:sz w:val="32"/>
          <w:szCs w:val="32"/>
          <w:lang w:val="en-US" w:eastAsia="zh-CN"/>
        </w:rPr>
        <w:t>1.7</w:t>
      </w:r>
      <w:r>
        <w:rPr>
          <w:rFonts w:hint="eastAsia" w:ascii="仿宋_GB2312" w:hAnsi="ˎ̥" w:eastAsia="仿宋_GB2312"/>
          <w:color w:val="auto"/>
          <w:sz w:val="32"/>
          <w:szCs w:val="32"/>
        </w:rPr>
        <w:t>万元</w:t>
      </w:r>
      <w:r>
        <w:rPr>
          <w:rFonts w:ascii="仿宋_GB2312" w:hAnsi="ˎ̥" w:eastAsia="仿宋_GB2312"/>
          <w:color w:val="auto"/>
          <w:sz w:val="32"/>
          <w:szCs w:val="32"/>
        </w:rPr>
        <w:t>，</w:t>
      </w:r>
      <w:r>
        <w:rPr>
          <w:rFonts w:hint="eastAsia" w:ascii="仿宋_GB2312" w:hAnsi="ˎ̥" w:eastAsia="仿宋_GB2312"/>
          <w:color w:val="auto"/>
          <w:sz w:val="32"/>
          <w:szCs w:val="32"/>
          <w:lang w:eastAsia="zh-CN"/>
        </w:rPr>
        <w:t>减少</w:t>
      </w:r>
      <w:r>
        <w:rPr>
          <w:rFonts w:hint="eastAsia" w:ascii="仿宋_GB2312" w:hAnsi="ˎ̥" w:eastAsia="仿宋_GB2312"/>
          <w:color w:val="auto"/>
          <w:sz w:val="32"/>
          <w:szCs w:val="32"/>
          <w:lang w:val="en-US" w:eastAsia="zh-CN"/>
        </w:rPr>
        <w:t>212.5</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公务用车购置及运行维护费</w:t>
      </w:r>
      <w:r>
        <w:rPr>
          <w:rFonts w:hint="eastAsia" w:ascii="仿宋_GB2312" w:hAnsi="ˎ̥" w:eastAsia="仿宋_GB2312"/>
          <w:color w:val="auto"/>
          <w:sz w:val="32"/>
          <w:szCs w:val="32"/>
        </w:rPr>
        <w:t>支出增加</w:t>
      </w:r>
      <w:r>
        <w:rPr>
          <w:rFonts w:hint="eastAsia" w:ascii="仿宋_GB2312" w:hAnsi="ˎ̥" w:eastAsia="仿宋_GB2312"/>
          <w:color w:val="auto"/>
          <w:sz w:val="32"/>
          <w:szCs w:val="32"/>
          <w:lang w:val="en-US" w:eastAsia="zh-CN"/>
        </w:rPr>
        <w:t>0.21</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lang w:val="en-US" w:eastAsia="zh-CN"/>
        </w:rPr>
        <w:t>35.6</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公务用车运行维护费增长</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3.公务接待费</w:t>
      </w:r>
      <w:r>
        <w:rPr>
          <w:rFonts w:hint="eastAsia" w:ascii="仿宋_GB2312" w:hAnsi="ˎ̥" w:eastAsia="仿宋_GB2312"/>
          <w:b w:val="0"/>
          <w:bCs/>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国内接待费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万元，国内公务接待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bCs/>
          <w:color w:val="auto"/>
          <w:sz w:val="32"/>
          <w:szCs w:val="32"/>
        </w:rPr>
        <w:t>国（境）外接待费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万元，国（境）外公务接待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公务接待费支出决算数比预算数</w:t>
      </w:r>
      <w:r>
        <w:rPr>
          <w:rFonts w:hint="eastAsia" w:ascii="仿宋_GB2312" w:hAnsi="ˎ̥" w:eastAsia="仿宋_GB2312"/>
          <w:color w:val="auto"/>
          <w:sz w:val="32"/>
          <w:szCs w:val="32"/>
          <w:lang w:eastAsia="zh-CN"/>
        </w:rPr>
        <w:t>持平</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eastAsia="zh-CN"/>
        </w:rPr>
        <w:t>持平</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根据预算管理要求，我部门（单位）组织对</w:t>
      </w:r>
      <w:r>
        <w:rPr>
          <w:rFonts w:hint="default" w:ascii="仿宋_GB2312" w:eastAsia="仿宋_GB2312"/>
          <w:color w:val="auto"/>
          <w:sz w:val="32"/>
          <w:szCs w:val="32"/>
          <w:lang w:val="en-US"/>
        </w:rPr>
        <w:t>2024</w:t>
      </w:r>
      <w:r>
        <w:rPr>
          <w:rFonts w:hint="eastAsia" w:ascii="仿宋_GB2312" w:eastAsia="仿宋_GB2312"/>
          <w:color w:val="auto"/>
          <w:sz w:val="32"/>
          <w:szCs w:val="32"/>
        </w:rPr>
        <w:t>年度一般公共预算项目支出全面开展绩效自评</w:t>
      </w:r>
      <w:r>
        <w:rPr>
          <w:rFonts w:hint="default" w:ascii="仿宋_GB2312" w:eastAsia="仿宋_GB2312"/>
          <w:color w:val="auto"/>
          <w:sz w:val="32"/>
          <w:szCs w:val="32"/>
          <w:lang w:val="en-US"/>
        </w:rPr>
        <w:t>,</w:t>
      </w:r>
      <w:r>
        <w:rPr>
          <w:rFonts w:hint="eastAsia" w:ascii="仿宋_GB2312" w:eastAsia="仿宋_GB2312"/>
          <w:color w:val="auto"/>
          <w:sz w:val="32"/>
          <w:szCs w:val="32"/>
          <w:lang w:val="en-US" w:eastAsia="zh-CN"/>
        </w:rPr>
        <w:t>共涉及资金141.9万元，占一般公共预算项目支出总额的100%</w:t>
      </w:r>
      <w:r>
        <w:rPr>
          <w:rFonts w:hint="eastAsia" w:ascii="仿宋_GB2312" w:eastAsia="仿宋_GB2312"/>
          <w:color w:val="auto"/>
          <w:sz w:val="32"/>
          <w:szCs w:val="32"/>
        </w:rPr>
        <w:t>。</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个政府性基金预算项目开展绩效自评，共涉及资金</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w:t>
      </w:r>
      <w:r>
        <w:rPr>
          <w:rFonts w:hint="eastAsia" w:ascii="仿宋_GB2312" w:eastAsia="仿宋_GB2312"/>
          <w:color w:val="auto"/>
          <w:sz w:val="32"/>
          <w:szCs w:val="32"/>
          <w:lang w:eastAsia="zh-CN" w:bidi="ar"/>
        </w:rPr>
        <w:t>。</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个国有资本经营预算项目开展绩效自评，共涉及资金</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w:t>
      </w:r>
    </w:p>
    <w:p>
      <w:pPr>
        <w:spacing w:line="578"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lang w:eastAsia="zh-CN"/>
        </w:rPr>
        <w:t>未</w:t>
      </w:r>
      <w:r>
        <w:rPr>
          <w:rFonts w:hint="eastAsia" w:ascii="仿宋_GB2312" w:eastAsia="仿宋_GB2312"/>
          <w:color w:val="auto"/>
          <w:sz w:val="32"/>
          <w:szCs w:val="32"/>
        </w:rPr>
        <w:t>组织对项目开展部门评价。</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部门决算中项目绩效自评结果</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我部门（单位）在部门决算中反映</w:t>
      </w:r>
      <w:r>
        <w:rPr>
          <w:rFonts w:hint="default" w:ascii="仿宋_GB2312" w:eastAsia="仿宋_GB2312"/>
          <w:color w:val="auto"/>
          <w:sz w:val="32"/>
          <w:szCs w:val="32"/>
          <w:lang w:val="en-US"/>
        </w:rPr>
        <w:t>工资奖金津补贴</w:t>
      </w:r>
      <w:r>
        <w:rPr>
          <w:rFonts w:hint="eastAsia" w:ascii="仿宋_GB2312" w:eastAsia="仿宋_GB2312"/>
          <w:color w:val="auto"/>
          <w:sz w:val="32"/>
          <w:szCs w:val="32"/>
        </w:rPr>
        <w:t>、</w:t>
      </w:r>
      <w:r>
        <w:rPr>
          <w:rFonts w:hint="default" w:ascii="仿宋_GB2312" w:eastAsia="仿宋_GB2312"/>
          <w:color w:val="auto"/>
          <w:sz w:val="32"/>
          <w:szCs w:val="32"/>
          <w:lang w:val="en-US"/>
        </w:rPr>
        <w:t>公用经费定额</w:t>
      </w:r>
      <w:r>
        <w:rPr>
          <w:rFonts w:hint="eastAsia" w:ascii="仿宋_GB2312" w:eastAsia="仿宋_GB2312"/>
          <w:color w:val="auto"/>
          <w:sz w:val="32"/>
          <w:szCs w:val="32"/>
        </w:rPr>
        <w:t>等</w:t>
      </w:r>
      <w:r>
        <w:rPr>
          <w:rFonts w:hint="eastAsia" w:ascii="仿宋_GB2312" w:eastAsia="仿宋_GB2312"/>
          <w:color w:val="auto"/>
          <w:sz w:val="32"/>
          <w:szCs w:val="32"/>
          <w:lang w:val="en-US" w:eastAsia="zh-CN"/>
        </w:rPr>
        <w:t>12</w:t>
      </w:r>
      <w:r>
        <w:rPr>
          <w:rFonts w:hint="eastAsia" w:ascii="仿宋_GB2312" w:eastAsia="仿宋_GB2312"/>
          <w:color w:val="auto"/>
          <w:sz w:val="32"/>
          <w:szCs w:val="32"/>
        </w:rPr>
        <w:t>个项目绩效自评结果（</w:t>
      </w:r>
      <w:r>
        <w:rPr>
          <w:rFonts w:ascii="仿宋_GB2312" w:hAnsi="宋体" w:eastAsia="仿宋_GB2312" w:cs="仿宋_GB2312"/>
          <w:i w:val="0"/>
          <w:caps w:val="0"/>
          <w:color w:val="auto"/>
          <w:spacing w:val="0"/>
          <w:sz w:val="31"/>
          <w:szCs w:val="31"/>
          <w:shd w:val="clear" w:color="auto" w:fill="FFFFFF"/>
          <w:vertAlign w:val="baseline"/>
        </w:rPr>
        <w:t>项目绩效自评表</w:t>
      </w:r>
      <w:r>
        <w:rPr>
          <w:rFonts w:hint="default" w:ascii="仿宋_GB2312" w:hAnsi="宋体" w:eastAsia="仿宋_GB2312" w:cs="仿宋_GB2312"/>
          <w:i w:val="0"/>
          <w:caps w:val="0"/>
          <w:color w:val="auto"/>
          <w:spacing w:val="0"/>
          <w:sz w:val="31"/>
          <w:szCs w:val="31"/>
          <w:shd w:val="clear" w:color="auto" w:fill="FFFFFF"/>
          <w:vertAlign w:val="baseline"/>
        </w:rPr>
        <w:t>及报告见附件</w:t>
      </w:r>
      <w:r>
        <w:rPr>
          <w:rFonts w:hint="eastAsia" w:ascii="仿宋_GB2312" w:hAnsi="宋体" w:eastAsia="仿宋_GB2312" w:cs="仿宋_GB2312"/>
          <w:i w:val="0"/>
          <w:caps w:val="0"/>
          <w:color w:val="auto"/>
          <w:spacing w:val="0"/>
          <w:sz w:val="31"/>
          <w:szCs w:val="31"/>
          <w:shd w:val="clear" w:color="auto" w:fill="FFFFFF"/>
          <w:vertAlign w:val="baseline"/>
          <w:lang w:val="en-US" w:eastAsia="zh-CN"/>
        </w:rPr>
        <w:t>2</w:t>
      </w:r>
      <w:r>
        <w:rPr>
          <w:rFonts w:hint="eastAsia" w:ascii="仿宋_GB2312" w:eastAsia="仿宋_GB2312"/>
          <w:color w:val="auto"/>
          <w:sz w:val="32"/>
          <w:szCs w:val="32"/>
        </w:rPr>
        <w:t>）。</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部门评价结果</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Chars="200" w:firstLine="320" w:firstLineChars="100"/>
        <w:textAlignment w:val="auto"/>
        <w:rPr>
          <w:rFonts w:hint="eastAsia" w:ascii="仿宋_GB2312" w:eastAsia="仿宋_GB2312"/>
          <w:color w:val="auto"/>
          <w:sz w:val="32"/>
          <w:szCs w:val="32"/>
          <w:lang w:eastAsia="zh-CN"/>
        </w:rPr>
      </w:pPr>
      <w:r>
        <w:rPr>
          <w:rFonts w:hint="eastAsia" w:ascii="仿宋_GB2312" w:hAnsi="仿宋_GB2312" w:eastAsia="仿宋_GB2312" w:cs="仿宋_GB2312"/>
          <w:color w:val="auto"/>
          <w:kern w:val="0"/>
          <w:sz w:val="32"/>
          <w:szCs w:val="32"/>
          <w:lang w:eastAsia="zh-CN" w:bidi="ar"/>
        </w:rPr>
        <w:t>无此项内容</w:t>
      </w:r>
    </w:p>
    <w:p>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财政评价结果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lang w:eastAsia="zh-CN"/>
        </w:rPr>
      </w:pPr>
      <w:r>
        <w:rPr>
          <w:rFonts w:hint="eastAsia" w:ascii="仿宋_GB2312" w:hAnsi="仿宋_GB2312" w:eastAsia="仿宋_GB2312" w:cs="仿宋_GB2312"/>
          <w:color w:val="auto"/>
          <w:kern w:val="0"/>
          <w:sz w:val="32"/>
          <w:szCs w:val="32"/>
          <w:lang w:eastAsia="zh-CN" w:bidi="ar"/>
        </w:rPr>
        <w:t>无此项内容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95" w:name="_Toc23598_WPSOffice_Level2"/>
      <w:bookmarkStart w:id="96" w:name="_Toc18325_WPSOffice_Level2"/>
      <w:bookmarkStart w:id="97" w:name="_Toc32639_WPSOffice_Level2"/>
      <w:bookmarkStart w:id="98" w:name="_Toc5978_WPSOffice_Level2"/>
      <w:bookmarkStart w:id="99" w:name="_Toc15565_WPSOffice_Level2"/>
      <w:bookmarkStart w:id="100" w:name="_Toc15262_WPSOffice_Level2"/>
      <w:r>
        <w:rPr>
          <w:rFonts w:hint="eastAsia" w:ascii="楷体" w:hAnsi="楷体" w:eastAsia="楷体" w:cs="楷体"/>
          <w:bCs/>
          <w:color w:val="auto"/>
          <w:sz w:val="32"/>
          <w:szCs w:val="32"/>
        </w:rPr>
        <w:t>（一）机关运行经费支出情况</w:t>
      </w:r>
      <w:bookmarkEnd w:id="95"/>
      <w:bookmarkEnd w:id="96"/>
      <w:bookmarkEnd w:id="97"/>
      <w:bookmarkEnd w:id="98"/>
      <w:bookmarkEnd w:id="99"/>
      <w:bookmarkEnd w:id="10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default" w:ascii="仿宋_GB2312" w:hAnsi="ˎ̥" w:eastAsia="仿宋_GB2312"/>
          <w:color w:val="auto"/>
          <w:sz w:val="32"/>
          <w:szCs w:val="32"/>
          <w:lang w:val="en-US"/>
        </w:rPr>
        <w:t>中共保亭黎族苗族自治县委史志馆</w:t>
      </w:r>
      <w:r>
        <w:rPr>
          <w:rFonts w:hint="eastAsia" w:ascii="仿宋_GB2312" w:hAnsi="ˎ̥" w:eastAsia="仿宋_GB2312"/>
          <w:color w:val="auto"/>
          <w:sz w:val="32"/>
          <w:szCs w:val="32"/>
        </w:rPr>
        <w:t>部门（单位）机关运行经费</w:t>
      </w:r>
      <w:r>
        <w:rPr>
          <w:rFonts w:hint="eastAsia" w:ascii="仿宋_GB2312" w:hAnsi="ˎ̥" w:eastAsia="仿宋_GB2312"/>
          <w:color w:val="auto"/>
          <w:sz w:val="32"/>
          <w:szCs w:val="32"/>
          <w:lang w:val="en-US" w:eastAsia="zh-CN"/>
        </w:rPr>
        <w:t>12.7</w:t>
      </w:r>
      <w:r>
        <w:rPr>
          <w:rFonts w:hint="eastAsia" w:ascii="仿宋_GB2312" w:hAnsi="ˎ̥" w:eastAsia="仿宋_GB2312"/>
          <w:color w:val="auto"/>
          <w:sz w:val="32"/>
          <w:szCs w:val="32"/>
        </w:rPr>
        <w:t>万元，比年初预算增加</w:t>
      </w:r>
      <w:r>
        <w:rPr>
          <w:rFonts w:hint="eastAsia" w:ascii="仿宋_GB2312" w:hAnsi="ˎ̥" w:eastAsia="仿宋_GB2312"/>
          <w:color w:val="auto"/>
          <w:sz w:val="32"/>
          <w:szCs w:val="32"/>
          <w:lang w:val="en-US" w:eastAsia="zh-CN"/>
        </w:rPr>
        <w:t>3.22</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完成预算的38</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与2023年度相比，机关运行经费</w:t>
      </w:r>
      <w:r>
        <w:rPr>
          <w:rFonts w:hint="eastAsia" w:ascii="仿宋_GB2312" w:hAnsi="ˎ̥" w:eastAsia="仿宋_GB2312"/>
          <w:color w:val="auto"/>
          <w:sz w:val="32"/>
          <w:szCs w:val="32"/>
        </w:rPr>
        <w:t>增加</w:t>
      </w:r>
      <w:r>
        <w:rPr>
          <w:rFonts w:hint="eastAsia" w:ascii="仿宋_GB2312" w:hAnsi="ˎ̥" w:eastAsia="仿宋_GB2312"/>
          <w:color w:val="auto"/>
          <w:sz w:val="32"/>
          <w:szCs w:val="32"/>
          <w:lang w:val="en-US" w:eastAsia="zh-CN"/>
        </w:rPr>
        <w:t>1.9</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增长17.6%。</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单位增加一名在编人员</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1" w:name="_Toc23966_WPSOffice_Level2"/>
      <w:bookmarkStart w:id="102" w:name="_Toc30383_WPSOffice_Level2"/>
      <w:bookmarkStart w:id="103" w:name="_Toc25333_WPSOffice_Level2"/>
      <w:bookmarkStart w:id="104" w:name="_Toc13084_WPSOffice_Level2"/>
      <w:bookmarkStart w:id="105" w:name="_Toc3131_WPSOffice_Level2"/>
      <w:bookmarkStart w:id="106" w:name="_Toc32689_WPSOffice_Level2"/>
      <w:r>
        <w:rPr>
          <w:rFonts w:hint="eastAsia" w:ascii="楷体" w:hAnsi="楷体" w:eastAsia="楷体" w:cs="楷体"/>
          <w:bCs/>
          <w:color w:val="auto"/>
          <w:sz w:val="32"/>
          <w:szCs w:val="32"/>
        </w:rPr>
        <w:t>（二）政府采购支出情况</w:t>
      </w:r>
      <w:bookmarkEnd w:id="101"/>
      <w:bookmarkEnd w:id="102"/>
      <w:bookmarkEnd w:id="103"/>
      <w:bookmarkEnd w:id="104"/>
      <w:bookmarkEnd w:id="105"/>
      <w:bookmarkEnd w:id="10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bookmarkStart w:id="107" w:name="OLE_LINK1"/>
      <w:r>
        <w:rPr>
          <w:rFonts w:hint="default" w:ascii="仿宋_GB2312" w:hAnsi="ˎ̥" w:eastAsia="仿宋_GB2312"/>
          <w:color w:val="auto"/>
          <w:sz w:val="32"/>
          <w:szCs w:val="32"/>
          <w:lang w:val="en-US"/>
        </w:rPr>
        <w:t>中共保亭黎族苗族自治县委史志馆</w:t>
      </w:r>
      <w:bookmarkEnd w:id="107"/>
      <w:r>
        <w:rPr>
          <w:rFonts w:hint="eastAsia" w:ascii="仿宋_GB2312" w:hAnsi="ˎ̥" w:eastAsia="仿宋_GB2312"/>
          <w:color w:val="auto"/>
          <w:sz w:val="32"/>
          <w:szCs w:val="32"/>
        </w:rPr>
        <w:t>部门（单位）政府采购支出总额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万元。授予中小企业合同金额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8" w:name="_Toc527_WPSOffice_Level2"/>
      <w:bookmarkStart w:id="109" w:name="_Toc10902_WPSOffice_Level2"/>
      <w:bookmarkStart w:id="110" w:name="_Toc19989_WPSOffice_Level2"/>
      <w:bookmarkStart w:id="111" w:name="_Toc15129_WPSOffice_Level2"/>
      <w:bookmarkStart w:id="112" w:name="_Toc6016_WPSOffice_Level2"/>
      <w:bookmarkStart w:id="113" w:name="_Toc29584_WPSOffice_Level2"/>
      <w:r>
        <w:rPr>
          <w:rFonts w:hint="eastAsia" w:ascii="楷体" w:hAnsi="楷体" w:eastAsia="楷体" w:cs="楷体"/>
          <w:bCs/>
          <w:color w:val="auto"/>
          <w:sz w:val="32"/>
          <w:szCs w:val="32"/>
        </w:rPr>
        <w:t>（三）国有资产占用情况</w:t>
      </w:r>
      <w:bookmarkEnd w:id="108"/>
      <w:bookmarkEnd w:id="109"/>
      <w:bookmarkEnd w:id="110"/>
      <w:bookmarkEnd w:id="111"/>
      <w:bookmarkEnd w:id="112"/>
      <w:bookmarkEnd w:id="113"/>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bCs/>
          <w:color w:val="auto"/>
          <w:sz w:val="32"/>
          <w:szCs w:val="32"/>
        </w:rPr>
        <w:t>截至</w:t>
      </w:r>
      <w:r>
        <w:rPr>
          <w:rFonts w:hint="default" w:ascii="仿宋_GB2312" w:hAnsi="ˎ̥" w:eastAsia="仿宋_GB2312"/>
          <w:bCs/>
          <w:color w:val="auto"/>
          <w:sz w:val="32"/>
          <w:szCs w:val="32"/>
          <w:lang w:val="en-US"/>
        </w:rPr>
        <w:t>2024</w:t>
      </w:r>
      <w:r>
        <w:rPr>
          <w:rFonts w:hint="eastAsia" w:ascii="仿宋_GB2312" w:hAnsi="ˎ̥" w:eastAsia="仿宋_GB2312"/>
          <w:bCs/>
          <w:color w:val="auto"/>
          <w:sz w:val="32"/>
          <w:szCs w:val="32"/>
        </w:rPr>
        <w:t>年12月31日，本部门拥有</w:t>
      </w:r>
      <w:r>
        <w:rPr>
          <w:rFonts w:hint="eastAsia" w:ascii="仿宋_GB2312" w:hAnsi="ˎ̥" w:eastAsia="仿宋_GB2312"/>
          <w:color w:val="auto"/>
          <w:sz w:val="32"/>
          <w:szCs w:val="32"/>
        </w:rPr>
        <w:t>房屋面积</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平方米</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本部门共有车辆</w:t>
      </w: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rPr>
        <w:t>辆，其中，副部（省）级及以上领导用车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辆、主要负责人用车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辆、机要通信用车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辆、应急保障用车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辆、执法执勤用车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辆、特种专业技术用车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辆、离退休干部服务用车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辆、其他用车</w:t>
      </w: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rPr>
        <w:t>辆。</w:t>
      </w:r>
      <w:r>
        <w:rPr>
          <w:rFonts w:hint="eastAsia" w:ascii="仿宋_GB2312" w:hAnsi="ˎ̥" w:eastAsia="仿宋_GB2312"/>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单价100万元（含）以上设备（不含车辆）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bookmarkStart w:id="122" w:name="_GoBack"/>
      <w:bookmarkEnd w:id="122"/>
      <w:bookmarkStart w:id="114" w:name="_Toc15425_WPSOffice_Level1"/>
      <w:bookmarkStart w:id="115" w:name="_Toc17580_WPSOffice_Level1"/>
      <w:bookmarkStart w:id="116" w:name="_Toc8874_WPSOffice_Level1"/>
      <w:bookmarkStart w:id="117" w:name="_Toc11039_WPSOffice_Level1"/>
      <w:bookmarkStart w:id="118" w:name="_Toc8808_WPSOffice_Level1"/>
      <w:bookmarkStart w:id="119" w:name="_Toc4398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r>
        <w:rPr>
          <w:rFonts w:hint="eastAsia" w:ascii="黑体" w:hAnsi="ˎ̥" w:eastAsia="黑体"/>
          <w:color w:val="auto"/>
          <w:sz w:val="32"/>
          <w:szCs w:val="32"/>
        </w:rPr>
        <w:t>第四部分  名词解释</w:t>
      </w:r>
      <w:bookmarkEnd w:id="114"/>
      <w:bookmarkEnd w:id="115"/>
      <w:bookmarkEnd w:id="116"/>
      <w:bookmarkEnd w:id="117"/>
      <w:bookmarkEnd w:id="118"/>
      <w:bookmarkEnd w:id="119"/>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p>
    <w:p>
      <w:pPr>
        <w:keepNext w:val="0"/>
        <w:keepLines w:val="0"/>
        <w:pageBreakBefore w:val="0"/>
        <w:widowControl w:val="0"/>
        <w:numPr>
          <w:ilvl w:val="0"/>
          <w:numId w:val="5"/>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十六、</w:t>
      </w:r>
      <w:r>
        <w:rPr>
          <w:rFonts w:ascii="仿宋_GB2312" w:hAnsi="ˎ̥" w:eastAsia="仿宋_GB2312"/>
          <w:color w:val="auto"/>
          <w:sz w:val="32"/>
          <w:szCs w:val="32"/>
        </w:rPr>
        <w:t>支出功能分类：</w:t>
      </w:r>
    </w:p>
    <w:p>
      <w:pPr>
        <w:keepNext w:val="0"/>
        <w:keepLines w:val="0"/>
        <w:pageBreakBefore w:val="0"/>
        <w:widowControl w:val="0"/>
        <w:kinsoku/>
        <w:wordWrap/>
        <w:overflowPunct/>
        <w:topLinePunct w:val="0"/>
        <w:autoSpaceDE/>
        <w:autoSpaceDN/>
        <w:bidi w:val="0"/>
        <w:adjustRightInd/>
        <w:snapToGrid/>
        <w:spacing w:line="560" w:lineRule="exact"/>
        <w:ind w:firstLine="645"/>
        <w:jc w:val="both"/>
        <w:textAlignment w:val="auto"/>
        <w:rPr>
          <w:rFonts w:hint="eastAsia" w:ascii="仿宋_GB2312" w:hAnsi="ˎ̥" w:eastAsia="仿宋_GB2312"/>
          <w:color w:val="auto"/>
          <w:sz w:val="32"/>
          <w:szCs w:val="32"/>
        </w:rPr>
      </w:pPr>
      <w:r>
        <w:rPr>
          <w:rFonts w:hint="eastAsia" w:ascii="仿宋_GB2312" w:hAnsi="ˎ̥" w:eastAsia="仿宋_GB2312"/>
          <w:b w:val="0"/>
          <w:bCs w:val="0"/>
          <w:color w:val="auto"/>
          <w:sz w:val="32"/>
          <w:szCs w:val="32"/>
          <w:lang w:val="en-US" w:eastAsia="zh-CN"/>
        </w:rPr>
        <w:t>1.</w:t>
      </w:r>
      <w:r>
        <w:rPr>
          <w:rFonts w:hint="eastAsia" w:ascii="仿宋_GB2312" w:hAnsi="ˎ̥" w:eastAsia="仿宋_GB2312"/>
          <w:b w:val="0"/>
          <w:bCs w:val="0"/>
          <w:color w:val="auto"/>
          <w:sz w:val="32"/>
          <w:szCs w:val="32"/>
          <w:lang w:eastAsia="zh-CN"/>
        </w:rPr>
        <w:t>社会保障和就业支出（类）行政事业单位养老支出（款）机关事业单位基本养老保险缴费支出（项）</w:t>
      </w:r>
      <w:r>
        <w:rPr>
          <w:rFonts w:hint="eastAsia" w:ascii="仿宋_GB2312" w:hAnsi="ˎ̥" w:eastAsia="仿宋_GB2312"/>
          <w:color w:val="000000"/>
          <w:sz w:val="32"/>
          <w:szCs w:val="32"/>
          <w:lang w:val="en-US" w:eastAsia="zh-CN"/>
        </w:rPr>
        <w:t>反映机关事业单位实施养老保险制度由单位缴纳的基本养老保险费支出。</w:t>
      </w:r>
    </w:p>
    <w:p>
      <w:pPr>
        <w:pStyle w:val="2"/>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color w:val="auto"/>
          <w:lang w:val="en-US" w:eastAsia="zh-CN"/>
        </w:rPr>
      </w:pPr>
      <w:r>
        <w:rPr>
          <w:rFonts w:hint="eastAsia" w:ascii="仿宋_GB2312" w:hAnsi="ˎ̥" w:eastAsia="仿宋_GB2312"/>
          <w:b w:val="0"/>
          <w:bCs w:val="0"/>
          <w:color w:val="auto"/>
          <w:sz w:val="32"/>
          <w:szCs w:val="32"/>
          <w:lang w:val="en-US" w:eastAsia="zh-CN"/>
        </w:rPr>
        <w:t>2.</w:t>
      </w:r>
      <w:r>
        <w:rPr>
          <w:rFonts w:hint="eastAsia" w:ascii="仿宋_GB2312" w:hAnsi="ˎ̥" w:eastAsia="仿宋_GB2312"/>
          <w:b w:val="0"/>
          <w:bCs w:val="0"/>
          <w:color w:val="auto"/>
          <w:sz w:val="32"/>
          <w:szCs w:val="32"/>
          <w:lang w:eastAsia="zh-CN"/>
        </w:rPr>
        <w:t>社会保障和就业支出（类）行政事业单位养老支出（款）机关事业单位职业年金缴费支出（项）</w:t>
      </w:r>
      <w:r>
        <w:rPr>
          <w:rFonts w:hint="eastAsia" w:ascii="仿宋_GB2312" w:hAnsi="ˎ̥" w:eastAsia="仿宋_GB2312"/>
          <w:sz w:val="32"/>
          <w:szCs w:val="32"/>
          <w:lang w:val="en-US" w:eastAsia="zh-CN"/>
        </w:rPr>
        <w:t>反映机关事业单位实施养老保险制度由单位缴纳的职业年金支出。</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ˎ̥" w:eastAsia="仿宋_GB2312"/>
          <w:b w:val="0"/>
          <w:bCs w:val="0"/>
          <w:color w:val="auto"/>
          <w:sz w:val="32"/>
          <w:szCs w:val="32"/>
          <w:lang w:val="en-US" w:eastAsia="zh-CN"/>
        </w:rPr>
      </w:pPr>
      <w:r>
        <w:rPr>
          <w:rFonts w:hint="eastAsia" w:ascii="仿宋_GB2312" w:hAnsi="ˎ̥" w:eastAsia="仿宋_GB2312"/>
          <w:b w:val="0"/>
          <w:bCs w:val="0"/>
          <w:color w:val="auto"/>
          <w:sz w:val="32"/>
          <w:szCs w:val="32"/>
          <w:lang w:val="en-US" w:eastAsia="zh-CN"/>
        </w:rPr>
        <w:t>3.</w:t>
      </w:r>
      <w:r>
        <w:rPr>
          <w:rFonts w:hint="eastAsia" w:ascii="仿宋_GB2312" w:hAnsi="ˎ̥" w:eastAsia="仿宋_GB2312"/>
          <w:b w:val="0"/>
          <w:bCs w:val="0"/>
          <w:color w:val="auto"/>
          <w:sz w:val="32"/>
          <w:szCs w:val="32"/>
          <w:lang w:eastAsia="zh-CN"/>
        </w:rPr>
        <w:t>卫生健康支出（类）行政事业单位医疗支出（款）事业单位医疗（项）</w:t>
      </w:r>
      <w:r>
        <w:rPr>
          <w:rFonts w:hint="eastAsia" w:ascii="仿宋_GB2312" w:hAnsi="ˎ̥" w:eastAsia="仿宋_GB2312"/>
          <w:b w:val="0"/>
          <w:bCs w:val="0"/>
          <w:color w:val="auto"/>
          <w:sz w:val="32"/>
          <w:szCs w:val="32"/>
          <w:lang w:val="en-US" w:eastAsia="zh-CN"/>
        </w:rPr>
        <w:t>反映机关</w:t>
      </w:r>
      <w:r>
        <w:rPr>
          <w:rFonts w:hint="eastAsia" w:ascii="仿宋_GB2312" w:hAnsi="ˎ̥" w:eastAsia="仿宋_GB2312"/>
          <w:b w:val="0"/>
          <w:bCs w:val="0"/>
          <w:sz w:val="32"/>
          <w:szCs w:val="32"/>
          <w:lang w:val="en-US" w:eastAsia="zh-CN"/>
        </w:rPr>
        <w:t>事业单位基本医疗保险缴费经费</w:t>
      </w:r>
      <w:r>
        <w:rPr>
          <w:rFonts w:hint="eastAsia" w:ascii="仿宋_GB2312" w:hAnsi="ˎ̥" w:eastAsia="仿宋_GB2312"/>
          <w:b w:val="0"/>
          <w:bCs w:val="0"/>
          <w:color w:val="auto"/>
          <w:sz w:val="32"/>
          <w:szCs w:val="32"/>
          <w:lang w:eastAsia="zh-CN"/>
        </w:rPr>
        <w:t>支出</w:t>
      </w:r>
      <w:r>
        <w:rPr>
          <w:rFonts w:hint="eastAsia" w:ascii="仿宋_GB2312" w:hAnsi="ˎ̥" w:eastAsia="仿宋_GB2312"/>
          <w:b w:val="0"/>
          <w:bCs w:val="0"/>
          <w:color w:val="auto"/>
          <w:sz w:val="32"/>
          <w:szCs w:val="32"/>
        </w:rPr>
        <w:t>。</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ˎ̥" w:eastAsia="仿宋_GB2312"/>
          <w:b w:val="0"/>
          <w:bCs w:val="0"/>
          <w:color w:val="auto"/>
          <w:sz w:val="32"/>
          <w:szCs w:val="32"/>
        </w:rPr>
      </w:pPr>
      <w:r>
        <w:rPr>
          <w:rFonts w:hint="eastAsia" w:ascii="仿宋_GB2312" w:hAnsi="ˎ̥" w:eastAsia="仿宋_GB2312"/>
          <w:b w:val="0"/>
          <w:bCs w:val="0"/>
          <w:color w:val="auto"/>
          <w:sz w:val="32"/>
          <w:szCs w:val="32"/>
          <w:lang w:val="en-US" w:eastAsia="zh-CN"/>
        </w:rPr>
        <w:t>4.卫生健康支出（类）行政事业单位医疗（款）公务员医疗补助（项）反映机关</w:t>
      </w:r>
      <w:r>
        <w:rPr>
          <w:rFonts w:hint="eastAsia" w:ascii="仿宋_GB2312" w:hAnsi="ˎ̥" w:eastAsia="仿宋_GB2312"/>
          <w:b w:val="0"/>
          <w:bCs w:val="0"/>
          <w:sz w:val="32"/>
          <w:szCs w:val="32"/>
          <w:lang w:val="en-US" w:eastAsia="zh-CN"/>
        </w:rPr>
        <w:t>事业单位公务员医疗补助</w:t>
      </w:r>
      <w:r>
        <w:rPr>
          <w:rFonts w:hint="eastAsia" w:ascii="仿宋_GB2312" w:hAnsi="ˎ̥" w:eastAsia="仿宋_GB2312"/>
          <w:b w:val="0"/>
          <w:bCs w:val="0"/>
          <w:color w:val="auto"/>
          <w:sz w:val="32"/>
          <w:szCs w:val="32"/>
          <w:lang w:eastAsia="zh-CN"/>
        </w:rPr>
        <w:t>支出</w:t>
      </w:r>
      <w:r>
        <w:rPr>
          <w:rFonts w:hint="eastAsia" w:ascii="仿宋_GB2312" w:hAnsi="ˎ̥" w:eastAsia="仿宋_GB2312"/>
          <w:b w:val="0"/>
          <w:bCs w:val="0"/>
          <w:color w:val="auto"/>
          <w:sz w:val="32"/>
          <w:szCs w:val="32"/>
        </w:rPr>
        <w:t>。</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ˎ̥" w:eastAsia="仿宋_GB2312"/>
          <w:b w:val="0"/>
          <w:bCs w:val="0"/>
          <w:sz w:val="32"/>
          <w:szCs w:val="32"/>
          <w:lang w:val="en-US" w:eastAsia="zh-CN"/>
        </w:rPr>
      </w:pPr>
      <w:r>
        <w:rPr>
          <w:rFonts w:hint="eastAsia" w:ascii="仿宋_GB2312" w:hAnsi="ˎ̥" w:eastAsia="仿宋_GB2312"/>
          <w:b w:val="0"/>
          <w:bCs w:val="0"/>
          <w:color w:val="auto"/>
          <w:sz w:val="32"/>
          <w:szCs w:val="32"/>
          <w:lang w:val="en-US" w:eastAsia="zh-CN"/>
        </w:rPr>
        <w:t>5.住房保障支出（类）住房改革支出（款）住房公积金（项）</w:t>
      </w:r>
      <w:r>
        <w:rPr>
          <w:rFonts w:hint="eastAsia" w:ascii="仿宋_GB2312" w:hAnsi="ˎ̥" w:eastAsia="仿宋_GB2312"/>
          <w:b w:val="0"/>
          <w:bCs w:val="0"/>
          <w:sz w:val="32"/>
          <w:szCs w:val="32"/>
          <w:lang w:val="en-US" w:eastAsia="zh-CN"/>
        </w:rPr>
        <w:t>反映行政事业单位</w:t>
      </w:r>
      <w:bookmarkStart w:id="120" w:name="OLE_LINK2"/>
      <w:r>
        <w:rPr>
          <w:rFonts w:hint="eastAsia" w:ascii="仿宋_GB2312" w:hAnsi="ˎ̥" w:eastAsia="仿宋_GB2312"/>
          <w:b w:val="0"/>
          <w:bCs w:val="0"/>
          <w:sz w:val="32"/>
          <w:szCs w:val="32"/>
          <w:lang w:val="en-US" w:eastAsia="zh-CN"/>
        </w:rPr>
        <w:t>工资和津贴补贴</w:t>
      </w:r>
      <w:bookmarkEnd w:id="120"/>
      <w:r>
        <w:rPr>
          <w:rFonts w:hint="eastAsia" w:ascii="仿宋_GB2312" w:hAnsi="ˎ̥" w:eastAsia="仿宋_GB2312"/>
          <w:b w:val="0"/>
          <w:bCs w:val="0"/>
          <w:sz w:val="32"/>
          <w:szCs w:val="32"/>
          <w:lang w:val="en-US" w:eastAsia="zh-CN"/>
        </w:rPr>
        <w:t>以及规定比例为职工缴纳的住房公积金。</w:t>
      </w:r>
    </w:p>
    <w:p>
      <w:pPr>
        <w:pStyle w:val="2"/>
        <w:rPr>
          <w:rFonts w:hint="eastAsia" w:ascii="仿宋_GB2312" w:hAnsi="ˎ̥" w:eastAsia="仿宋_GB2312"/>
          <w:b w:val="0"/>
          <w:bCs w:val="0"/>
          <w:sz w:val="32"/>
          <w:szCs w:val="32"/>
          <w:lang w:val="en-US" w:eastAsia="zh-CN"/>
        </w:rPr>
      </w:pPr>
      <w:r>
        <w:rPr>
          <w:rFonts w:hint="eastAsia" w:ascii="仿宋_GB2312" w:hAnsi="ˎ̥" w:eastAsia="仿宋_GB2312"/>
          <w:b w:val="0"/>
          <w:bCs w:val="0"/>
          <w:sz w:val="32"/>
          <w:szCs w:val="32"/>
          <w:lang w:val="en-US" w:eastAsia="zh-CN"/>
        </w:rPr>
        <w:t>6.</w:t>
      </w:r>
      <w:bookmarkStart w:id="121" w:name="OLE_LINK3"/>
      <w:r>
        <w:rPr>
          <w:rFonts w:hint="eastAsia" w:ascii="仿宋_GB2312" w:hAnsi="ˎ̥" w:eastAsia="仿宋_GB2312"/>
          <w:b w:val="0"/>
          <w:bCs w:val="0"/>
          <w:sz w:val="32"/>
          <w:szCs w:val="32"/>
          <w:lang w:val="en-US" w:eastAsia="zh-CN"/>
        </w:rPr>
        <w:t>一般公共服务（类）党委办公厅（室）及相关机构事务（款）机关服务（项）反映行政事业单位提供后勤服务的支出。</w:t>
      </w:r>
    </w:p>
    <w:p>
      <w:pPr>
        <w:pStyle w:val="2"/>
        <w:rPr>
          <w:rFonts w:hint="default" w:ascii="仿宋_GB2312" w:hAnsi="ˎ̥" w:eastAsia="仿宋_GB2312"/>
          <w:b w:val="0"/>
          <w:bCs w:val="0"/>
          <w:sz w:val="32"/>
          <w:szCs w:val="32"/>
          <w:lang w:val="en-US" w:eastAsia="zh-CN"/>
        </w:rPr>
      </w:pPr>
    </w:p>
    <w:bookmarkEnd w:id="121"/>
    <w:p>
      <w:pPr>
        <w:pStyle w:val="2"/>
        <w:rPr>
          <w:rFonts w:hint="default" w:eastAsia="仿宋_GB2312"/>
          <w:lang w:val="en-US" w:eastAsia="zh-CN"/>
        </w:rPr>
      </w:pPr>
    </w:p>
    <w:p>
      <w:pPr>
        <w:keepNext w:val="0"/>
        <w:keepLines w:val="0"/>
        <w:pageBreakBefore w:val="0"/>
        <w:widowControl w:val="0"/>
        <w:kinsoku/>
        <w:wordWrap/>
        <w:overflowPunct/>
        <w:topLinePunct w:val="0"/>
        <w:autoSpaceDE/>
        <w:autoSpaceDN/>
        <w:bidi w:val="0"/>
        <w:adjustRightInd/>
        <w:snapToGrid/>
        <w:spacing w:line="578" w:lineRule="exact"/>
        <w:textAlignment w:val="auto"/>
        <w:rPr>
          <w:color w:val="auto"/>
        </w:rPr>
      </w:pP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3"/>
      </w:rPr>
    </w:pPr>
    <w:r>
      <w:fldChar w:fldCharType="begin"/>
    </w:r>
    <w:r>
      <w:rPr>
        <w:rStyle w:val="13"/>
      </w:rPr>
      <w:instrText xml:space="preserve">PAGE  </w:instrText>
    </w:r>
    <w:r>
      <w:fldChar w:fldCharType="separate"/>
    </w:r>
    <w:r>
      <w:rPr>
        <w:rStyle w:val="13"/>
      </w:rPr>
      <w:t>18</w:t>
    </w:r>
    <w: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3"/>
      </w:rPr>
    </w:pPr>
    <w:r>
      <w:fldChar w:fldCharType="begin"/>
    </w:r>
    <w:r>
      <w:rPr>
        <w:rStyle w:val="13"/>
      </w:rPr>
      <w:instrText xml:space="preserve">PAGE  </w:instrText>
    </w:r>
    <w:r>
      <w:fldChar w:fldCharType="separate"/>
    </w:r>
    <w: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B941A977"/>
    <w:multiLevelType w:val="singleLevel"/>
    <w:tmpl w:val="B941A977"/>
    <w:lvl w:ilvl="0" w:tentative="0">
      <w:start w:val="4"/>
      <w:numFmt w:val="chineseCounting"/>
      <w:suff w:val="nothing"/>
      <w:lvlText w:val="（%1）"/>
      <w:lvlJc w:val="left"/>
      <w:rPr>
        <w:rFonts w:hint="eastAsia"/>
      </w:rPr>
    </w:lvl>
  </w:abstractNum>
  <w:abstractNum w:abstractNumId="2">
    <w:nsid w:val="042458AC"/>
    <w:multiLevelType w:val="singleLevel"/>
    <w:tmpl w:val="042458AC"/>
    <w:lvl w:ilvl="0" w:tentative="0">
      <w:start w:val="1"/>
      <w:numFmt w:val="chineseCounting"/>
      <w:suff w:val="nothing"/>
      <w:lvlText w:val="%1、"/>
      <w:lvlJc w:val="left"/>
      <w:rPr>
        <w:rFonts w:hint="eastAsia"/>
      </w:rPr>
    </w:lvl>
  </w:abstractNum>
  <w:abstractNum w:abstractNumId="3">
    <w:nsid w:val="4687C233"/>
    <w:multiLevelType w:val="singleLevel"/>
    <w:tmpl w:val="4687C233"/>
    <w:lvl w:ilvl="0" w:tentative="0">
      <w:start w:val="2"/>
      <w:numFmt w:val="chineseCounting"/>
      <w:suff w:val="nothing"/>
      <w:lvlText w:val="（%1）"/>
      <w:lvlJc w:val="left"/>
      <w:rPr>
        <w:rFonts w:hint="eastAsia"/>
      </w:rPr>
    </w:lvl>
  </w:abstractNum>
  <w:abstractNum w:abstractNumId="4">
    <w:nsid w:val="72109F8D"/>
    <w:multiLevelType w:val="singleLevel"/>
    <w:tmpl w:val="72109F8D"/>
    <w:lvl w:ilvl="0" w:tentative="0">
      <w:start w:val="7"/>
      <w:numFmt w:val="chineseCounting"/>
      <w:suff w:val="nothing"/>
      <w:lvlText w:val="%1、"/>
      <w:lvlJc w:val="left"/>
      <w:rPr>
        <w:rFonts w:hint="eastAsia"/>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7F14E61"/>
    <w:rsid w:val="09201287"/>
    <w:rsid w:val="0FC80124"/>
    <w:rsid w:val="136F98C7"/>
    <w:rsid w:val="17427E68"/>
    <w:rsid w:val="1755065F"/>
    <w:rsid w:val="1AFC29C9"/>
    <w:rsid w:val="1CA52F2E"/>
    <w:rsid w:val="1E3630B9"/>
    <w:rsid w:val="26EEC2B5"/>
    <w:rsid w:val="29472309"/>
    <w:rsid w:val="2B406E77"/>
    <w:rsid w:val="2C2A0C43"/>
    <w:rsid w:val="2D1E73A5"/>
    <w:rsid w:val="2E0909FC"/>
    <w:rsid w:val="32717154"/>
    <w:rsid w:val="34B63260"/>
    <w:rsid w:val="37FDA7E2"/>
    <w:rsid w:val="3A314D88"/>
    <w:rsid w:val="3A746883"/>
    <w:rsid w:val="3CA15DE9"/>
    <w:rsid w:val="3EA73D7B"/>
    <w:rsid w:val="3FE61EE5"/>
    <w:rsid w:val="406508EE"/>
    <w:rsid w:val="408D6263"/>
    <w:rsid w:val="41B40CEE"/>
    <w:rsid w:val="48317291"/>
    <w:rsid w:val="485F7024"/>
    <w:rsid w:val="48E70666"/>
    <w:rsid w:val="4C6877E5"/>
    <w:rsid w:val="4D6A468D"/>
    <w:rsid w:val="4EA86137"/>
    <w:rsid w:val="56CA7FD0"/>
    <w:rsid w:val="57FA38D1"/>
    <w:rsid w:val="5E514C85"/>
    <w:rsid w:val="5F7D3333"/>
    <w:rsid w:val="61385890"/>
    <w:rsid w:val="687436E1"/>
    <w:rsid w:val="6D060515"/>
    <w:rsid w:val="6DA45C50"/>
    <w:rsid w:val="6E9A7825"/>
    <w:rsid w:val="6F670F9B"/>
    <w:rsid w:val="737450E0"/>
    <w:rsid w:val="74054476"/>
    <w:rsid w:val="742F38C4"/>
    <w:rsid w:val="74AB66DC"/>
    <w:rsid w:val="74C4154C"/>
    <w:rsid w:val="75956FFF"/>
    <w:rsid w:val="77AA2D01"/>
    <w:rsid w:val="7CDE1DBD"/>
    <w:rsid w:val="7D943A85"/>
    <w:rsid w:val="7DB0448C"/>
    <w:rsid w:val="7E5F9AA4"/>
    <w:rsid w:val="7FB73270"/>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customStyle="1" w:styleId="2">
    <w:name w:val="海南化工城正文"/>
    <w:basedOn w:val="3"/>
    <w:qFormat/>
    <w:uiPriority w:val="0"/>
    <w:pPr>
      <w:ind w:firstLine="480"/>
    </w:pPr>
    <w:rPr>
      <w:sz w:val="24"/>
    </w:rPr>
  </w:style>
  <w:style w:type="paragraph" w:customStyle="1" w:styleId="3">
    <w:name w:val="样式 电镀正文 + 首行缩进:  2 字符"/>
    <w:basedOn w:val="4"/>
    <w:qFormat/>
    <w:uiPriority w:val="0"/>
    <w:pPr>
      <w:spacing w:line="324" w:lineRule="auto"/>
    </w:pPr>
    <w:rPr>
      <w:rFonts w:cs="宋体"/>
      <w:szCs w:val="20"/>
    </w:rPr>
  </w:style>
  <w:style w:type="paragraph" w:customStyle="1" w:styleId="4">
    <w:name w:val="电镀正文"/>
    <w:basedOn w:val="5"/>
    <w:qFormat/>
    <w:uiPriority w:val="0"/>
    <w:pPr>
      <w:spacing w:line="400" w:lineRule="exact"/>
      <w:ind w:firstLine="200"/>
    </w:pPr>
    <w:rPr>
      <w:rFonts w:ascii="宋体" w:hAnsi="宋体"/>
    </w:rPr>
  </w:style>
  <w:style w:type="paragraph" w:styleId="5">
    <w:name w:val="Normal Indent"/>
    <w:basedOn w:val="1"/>
    <w:unhideWhenUsed/>
    <w:qFormat/>
    <w:uiPriority w:val="99"/>
    <w:pPr>
      <w:ind w:firstLine="420" w:firstLineChars="200"/>
    </w:pPr>
  </w:style>
  <w:style w:type="paragraph" w:styleId="6">
    <w:name w:val="annotation text"/>
    <w:basedOn w:val="1"/>
    <w:link w:val="15"/>
    <w:qFormat/>
    <w:uiPriority w:val="0"/>
    <w:pPr>
      <w:jc w:val="left"/>
    </w:pPr>
  </w:style>
  <w:style w:type="paragraph" w:styleId="7">
    <w:name w:val="Balloon Text"/>
    <w:basedOn w:val="1"/>
    <w:link w:val="16"/>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10">
    <w:name w:val="annotation subject"/>
    <w:basedOn w:val="6"/>
    <w:next w:val="6"/>
    <w:link w:val="18"/>
    <w:qFormat/>
    <w:uiPriority w:val="0"/>
    <w:rPr>
      <w:b/>
      <w:bCs/>
    </w:rPr>
  </w:style>
  <w:style w:type="character" w:styleId="13">
    <w:name w:val="page number"/>
    <w:qFormat/>
    <w:uiPriority w:val="0"/>
  </w:style>
  <w:style w:type="character" w:styleId="14">
    <w:name w:val="annotation reference"/>
    <w:qFormat/>
    <w:uiPriority w:val="0"/>
    <w:rPr>
      <w:sz w:val="21"/>
      <w:szCs w:val="21"/>
    </w:rPr>
  </w:style>
  <w:style w:type="character" w:customStyle="1" w:styleId="15">
    <w:name w:val="批注文字 Char"/>
    <w:link w:val="6"/>
    <w:qFormat/>
    <w:uiPriority w:val="0"/>
    <w:rPr>
      <w:kern w:val="2"/>
      <w:sz w:val="21"/>
      <w:szCs w:val="24"/>
    </w:rPr>
  </w:style>
  <w:style w:type="character" w:customStyle="1" w:styleId="16">
    <w:name w:val="批注框文本 Char"/>
    <w:link w:val="7"/>
    <w:qFormat/>
    <w:uiPriority w:val="0"/>
    <w:rPr>
      <w:kern w:val="2"/>
      <w:sz w:val="18"/>
      <w:szCs w:val="18"/>
    </w:rPr>
  </w:style>
  <w:style w:type="character" w:customStyle="1" w:styleId="17">
    <w:name w:val="页眉 Char"/>
    <w:link w:val="9"/>
    <w:qFormat/>
    <w:uiPriority w:val="0"/>
    <w:rPr>
      <w:kern w:val="2"/>
      <w:sz w:val="18"/>
      <w:szCs w:val="18"/>
    </w:rPr>
  </w:style>
  <w:style w:type="character" w:customStyle="1" w:styleId="18">
    <w:name w:val="批注主题 Char"/>
    <w:link w:val="10"/>
    <w:qFormat/>
    <w:uiPriority w:val="0"/>
    <w:rPr>
      <w:b/>
      <w:bCs/>
      <w:kern w:val="2"/>
      <w:sz w:val="21"/>
      <w:szCs w:val="24"/>
    </w:rPr>
  </w:style>
  <w:style w:type="paragraph" w:customStyle="1" w:styleId="19">
    <w:name w:val="WPSOffice手动目录 1"/>
    <w:qFormat/>
    <w:uiPriority w:val="0"/>
    <w:rPr>
      <w:rFonts w:ascii="Times New Roman" w:hAnsi="Times New Roman" w:eastAsia="宋体" w:cs="Times New Roman"/>
      <w:lang w:val="en-US" w:eastAsia="zh-CN" w:bidi="ar-SA"/>
    </w:rPr>
  </w:style>
  <w:style w:type="paragraph" w:customStyle="1" w:styleId="20">
    <w:name w:val="WPSOffice手动目录 2"/>
    <w:qFormat/>
    <w:uiPriority w:val="0"/>
    <w:pPr>
      <w:ind w:leftChars="200"/>
    </w:pPr>
    <w:rPr>
      <w:rFonts w:ascii="Times New Roman" w:hAnsi="Times New Roman" w:eastAsia="宋体" w:cs="Times New Roman"/>
      <w:lang w:val="en-US" w:eastAsia="zh-CN" w:bidi="ar-SA"/>
    </w:rPr>
  </w:style>
  <w:style w:type="paragraph" w:customStyle="1" w:styleId="21">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1163</Words>
  <Characters>2480</Characters>
  <Lines>67</Lines>
  <Paragraphs>18</Paragraphs>
  <TotalTime>18</TotalTime>
  <ScaleCrop>false</ScaleCrop>
  <LinksUpToDate>false</LinksUpToDate>
  <CharactersWithSpaces>2528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楚</cp:lastModifiedBy>
  <cp:lastPrinted>2023-08-03T00:58:00Z</cp:lastPrinted>
  <dcterms:modified xsi:type="dcterms:W3CDTF">2025-08-26T02:25:10Z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