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99BDD">
      <w:pPr>
        <w:spacing w:line="560" w:lineRule="exact"/>
        <w:rPr>
          <w:sz w:val="84"/>
          <w:szCs w:val="84"/>
          <w:u w:val="none"/>
        </w:rPr>
      </w:pPr>
    </w:p>
    <w:p w14:paraId="5A017487">
      <w:pPr>
        <w:spacing w:line="560" w:lineRule="exact"/>
        <w:rPr>
          <w:sz w:val="84"/>
          <w:szCs w:val="84"/>
          <w:u w:val="none"/>
        </w:rPr>
      </w:pPr>
    </w:p>
    <w:p w14:paraId="256C8F5B">
      <w:pPr>
        <w:spacing w:line="560" w:lineRule="exact"/>
        <w:rPr>
          <w:sz w:val="84"/>
          <w:szCs w:val="84"/>
          <w:u w:val="none"/>
        </w:rPr>
      </w:pPr>
    </w:p>
    <w:p w14:paraId="3FFB9B95">
      <w:pPr>
        <w:spacing w:line="560" w:lineRule="exact"/>
        <w:rPr>
          <w:sz w:val="84"/>
          <w:szCs w:val="84"/>
          <w:u w:val="none"/>
        </w:rPr>
      </w:pPr>
    </w:p>
    <w:p w14:paraId="1A27A5A6">
      <w:pPr>
        <w:spacing w:line="560" w:lineRule="exact"/>
        <w:jc w:val="center"/>
        <w:rPr>
          <w:rFonts w:hint="eastAsia"/>
          <w:sz w:val="52"/>
          <w:szCs w:val="52"/>
          <w:u w:val="none"/>
          <w:lang w:val="en-US" w:eastAsia="zh-CN"/>
        </w:rPr>
      </w:pPr>
    </w:p>
    <w:p w14:paraId="721A1E32">
      <w:pPr>
        <w:spacing w:line="560" w:lineRule="exact"/>
        <w:jc w:val="center"/>
        <w:rPr>
          <w:rFonts w:hint="eastAsia"/>
          <w:sz w:val="52"/>
          <w:szCs w:val="52"/>
          <w:u w:val="none"/>
          <w:lang w:val="en-US" w:eastAsia="zh-CN"/>
        </w:rPr>
      </w:pPr>
    </w:p>
    <w:p w14:paraId="0B6D0D73">
      <w:pPr>
        <w:spacing w:line="560" w:lineRule="exact"/>
        <w:jc w:val="center"/>
        <w:rPr>
          <w:rFonts w:hint="eastAsia"/>
          <w:sz w:val="52"/>
          <w:szCs w:val="52"/>
          <w:u w:val="none"/>
          <w:lang w:val="en-US" w:eastAsia="zh-CN"/>
        </w:rPr>
      </w:pPr>
    </w:p>
    <w:p w14:paraId="5B5C69E4">
      <w:pPr>
        <w:spacing w:line="560" w:lineRule="exact"/>
        <w:jc w:val="center"/>
        <w:rPr>
          <w:rFonts w:hint="eastAsia"/>
          <w:sz w:val="52"/>
          <w:szCs w:val="52"/>
          <w:u w:val="none"/>
          <w:lang w:val="en-US" w:eastAsia="zh-CN"/>
        </w:rPr>
      </w:pPr>
    </w:p>
    <w:p w14:paraId="49AC43AF">
      <w:pPr>
        <w:spacing w:line="560" w:lineRule="exact"/>
        <w:jc w:val="center"/>
        <w:rPr>
          <w:rFonts w:hint="eastAsia"/>
          <w:sz w:val="52"/>
          <w:szCs w:val="52"/>
          <w:u w:val="none"/>
          <w:lang w:val="en-US" w:eastAsia="zh-CN"/>
        </w:rPr>
      </w:pPr>
    </w:p>
    <w:p w14:paraId="4A9FC7BE">
      <w:pPr>
        <w:spacing w:line="560" w:lineRule="exact"/>
        <w:jc w:val="center"/>
        <w:rPr>
          <w:rFonts w:hint="eastAsia"/>
          <w:sz w:val="52"/>
          <w:szCs w:val="52"/>
          <w:u w:val="none"/>
          <w:lang w:val="en-US" w:eastAsia="zh-CN"/>
        </w:rPr>
      </w:pPr>
    </w:p>
    <w:p w14:paraId="3F7401D7">
      <w:pPr>
        <w:spacing w:line="560" w:lineRule="exact"/>
        <w:jc w:val="center"/>
        <w:rPr>
          <w:rFonts w:hint="eastAsia" w:ascii="黑体" w:hAnsi="黑体" w:eastAsia="黑体" w:cs="黑体"/>
          <w:b w:val="0"/>
          <w:bCs w:val="0"/>
          <w:sz w:val="52"/>
          <w:szCs w:val="52"/>
          <w:u w:val="none"/>
        </w:rPr>
      </w:pPr>
      <w:r>
        <w:rPr>
          <w:rFonts w:hint="eastAsia" w:ascii="黑体" w:hAnsi="黑体" w:eastAsia="黑体" w:cs="黑体"/>
          <w:b w:val="0"/>
          <w:bCs w:val="0"/>
          <w:sz w:val="52"/>
          <w:szCs w:val="52"/>
          <w:u w:val="none"/>
          <w:lang w:val="en-US" w:eastAsia="zh-CN"/>
        </w:rPr>
        <w:t>2026年宣传部</w:t>
      </w:r>
      <w:r>
        <w:rPr>
          <w:rFonts w:hint="eastAsia" w:ascii="黑体" w:hAnsi="黑体" w:eastAsia="黑体" w:cs="黑体"/>
          <w:b w:val="0"/>
          <w:bCs w:val="0"/>
          <w:sz w:val="52"/>
          <w:szCs w:val="52"/>
          <w:u w:val="none"/>
        </w:rPr>
        <w:t>单位预算</w:t>
      </w:r>
    </w:p>
    <w:p w14:paraId="6D3288BD">
      <w:pPr>
        <w:spacing w:line="560" w:lineRule="exact"/>
        <w:ind w:firstLine="1680"/>
        <w:jc w:val="center"/>
        <w:rPr>
          <w:sz w:val="84"/>
          <w:szCs w:val="84"/>
          <w:u w:val="none"/>
        </w:rPr>
      </w:pPr>
    </w:p>
    <w:p w14:paraId="2B327E2E">
      <w:pPr>
        <w:spacing w:line="560" w:lineRule="exact"/>
        <w:ind w:firstLine="1680"/>
        <w:jc w:val="center"/>
        <w:rPr>
          <w:sz w:val="84"/>
          <w:szCs w:val="84"/>
          <w:u w:val="none"/>
        </w:rPr>
      </w:pPr>
    </w:p>
    <w:p w14:paraId="7A23C55F">
      <w:pPr>
        <w:spacing w:line="560" w:lineRule="exact"/>
        <w:ind w:firstLine="1680"/>
        <w:jc w:val="center"/>
        <w:rPr>
          <w:sz w:val="84"/>
          <w:szCs w:val="84"/>
          <w:u w:val="none"/>
        </w:rPr>
      </w:pPr>
    </w:p>
    <w:p w14:paraId="487F4150">
      <w:pPr>
        <w:spacing w:line="560" w:lineRule="exact"/>
        <w:ind w:firstLine="1680"/>
        <w:jc w:val="center"/>
        <w:rPr>
          <w:sz w:val="84"/>
          <w:szCs w:val="84"/>
          <w:u w:val="none"/>
        </w:rPr>
      </w:pPr>
    </w:p>
    <w:p w14:paraId="46910303">
      <w:pPr>
        <w:spacing w:line="240" w:lineRule="auto"/>
        <w:jc w:val="center"/>
        <w:rPr>
          <w:rFonts w:hint="eastAsia" w:ascii="黑体" w:hAnsi="黑体" w:eastAsia="黑体"/>
          <w:sz w:val="52"/>
          <w:szCs w:val="52"/>
          <w:u w:val="none"/>
        </w:rPr>
        <w:sectPr>
          <w:pgSz w:w="11906" w:h="16838"/>
          <w:pgMar w:top="2098" w:right="1474" w:bottom="1984" w:left="1587" w:header="851" w:footer="992" w:gutter="0"/>
          <w:pgNumType w:fmt="decimal" w:start="1"/>
          <w:cols w:space="720" w:num="1"/>
          <w:docGrid w:type="lines" w:linePitch="312" w:charSpace="0"/>
        </w:sectPr>
      </w:pPr>
    </w:p>
    <w:p w14:paraId="2C08C37E">
      <w:pPr>
        <w:spacing w:line="240" w:lineRule="auto"/>
        <w:jc w:val="center"/>
        <w:rPr>
          <w:rFonts w:hint="eastAsia" w:ascii="黑体" w:hAnsi="黑体" w:eastAsia="黑体"/>
          <w:sz w:val="32"/>
          <w:szCs w:val="32"/>
          <w:u w:val="none"/>
        </w:rPr>
      </w:pPr>
      <w:r>
        <w:rPr>
          <w:rFonts w:hint="eastAsia" w:ascii="黑体" w:hAnsi="黑体" w:eastAsia="黑体"/>
          <w:sz w:val="52"/>
          <w:szCs w:val="52"/>
          <w:u w:val="none"/>
        </w:rPr>
        <w:t>目录</w:t>
      </w:r>
    </w:p>
    <w:p w14:paraId="12A89A43">
      <w:pPr>
        <w:pStyle w:val="7"/>
        <w:numPr>
          <w:ilvl w:val="0"/>
          <w:numId w:val="0"/>
        </w:numPr>
        <w:spacing w:line="240" w:lineRule="auto"/>
        <w:ind w:left="1320" w:leftChars="0" w:hanging="1320" w:firstLineChars="0"/>
        <w:jc w:val="left"/>
        <w:rPr>
          <w:rFonts w:hint="eastAsia" w:ascii="黑体" w:hAnsi="黑体" w:eastAsia="黑体" w:cs="黑体"/>
          <w:sz w:val="32"/>
          <w:szCs w:val="32"/>
          <w:u w:val="none"/>
        </w:rPr>
      </w:pPr>
      <w:r>
        <w:rPr>
          <w:rFonts w:hint="eastAsia" w:ascii="黑体" w:hAnsi="黑体" w:eastAsia="黑体" w:cs="黑体"/>
          <w:kern w:val="2"/>
          <w:sz w:val="32"/>
          <w:szCs w:val="32"/>
          <w:lang w:val="en-US" w:eastAsia="zh-CN" w:bidi="ar-SA"/>
        </w:rPr>
        <w:t>第一部分</w:t>
      </w:r>
      <w:r>
        <w:rPr>
          <w:rFonts w:hint="eastAsia" w:ascii="黑体" w:hAnsi="黑体" w:eastAsia="黑体"/>
          <w:sz w:val="32"/>
          <w:szCs w:val="32"/>
          <w:u w:val="none"/>
          <w:lang w:val="en-US" w:eastAsia="zh-CN"/>
        </w:rPr>
        <w:t xml:space="preserve">  宣传部</w:t>
      </w:r>
      <w:r>
        <w:rPr>
          <w:rFonts w:hint="eastAsia" w:ascii="黑体" w:hAnsi="黑体" w:eastAsia="黑体" w:cs="黑体"/>
          <w:sz w:val="32"/>
          <w:szCs w:val="32"/>
          <w:u w:val="none"/>
        </w:rPr>
        <w:t>概况</w:t>
      </w:r>
    </w:p>
    <w:p w14:paraId="720513A4">
      <w:pPr>
        <w:pStyle w:val="7"/>
        <w:numPr>
          <w:ilvl w:val="0"/>
          <w:numId w:val="0"/>
        </w:numPr>
        <w:spacing w:line="240" w:lineRule="auto"/>
        <w:ind w:left="720" w:leftChars="0" w:hanging="720" w:firstLineChars="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一、</w:t>
      </w:r>
      <w:r>
        <w:rPr>
          <w:rFonts w:hint="eastAsia" w:ascii="仿宋_GB2312" w:hAnsi="仿宋_GB2312" w:eastAsia="仿宋_GB2312" w:cs="仿宋_GB2312"/>
          <w:sz w:val="32"/>
          <w:szCs w:val="32"/>
          <w:u w:val="none"/>
        </w:rPr>
        <w:t>主要职能</w:t>
      </w:r>
    </w:p>
    <w:p w14:paraId="70CAA1AF">
      <w:pPr>
        <w:pStyle w:val="7"/>
        <w:numPr>
          <w:ilvl w:val="0"/>
          <w:numId w:val="0"/>
        </w:numPr>
        <w:spacing w:line="240" w:lineRule="auto"/>
        <w:ind w:left="720" w:leftChars="0" w:hanging="720" w:firstLineChars="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二、机构设置</w:t>
      </w:r>
    </w:p>
    <w:p w14:paraId="7F7A1B2C">
      <w:pPr>
        <w:pStyle w:val="7"/>
        <w:numPr>
          <w:ilvl w:val="0"/>
          <w:numId w:val="0"/>
        </w:numPr>
        <w:spacing w:line="240" w:lineRule="auto"/>
        <w:ind w:left="1320" w:leftChars="0" w:hanging="132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第二部分  2026年单位预算表</w:t>
      </w:r>
    </w:p>
    <w:p w14:paraId="5DAA6FA8">
      <w:pPr>
        <w:pStyle w:val="7"/>
        <w:numPr>
          <w:ilvl w:val="0"/>
          <w:numId w:val="0"/>
        </w:numPr>
        <w:spacing w:line="240" w:lineRule="auto"/>
        <w:ind w:left="720" w:leftChars="0" w:hanging="720" w:firstLineChars="0"/>
        <w:rPr>
          <w:rFonts w:ascii="仿宋_GB2312" w:hAnsi="仿宋_GB2312" w:eastAsia="仿宋_GB2312" w:cs="仿宋_GB2312"/>
          <w:sz w:val="32"/>
          <w:szCs w:val="32"/>
          <w:u w:val="none"/>
        </w:rPr>
      </w:pPr>
      <w:r>
        <w:rPr>
          <w:rFonts w:hint="default"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u w:val="none"/>
        </w:rPr>
        <w:t>财政拨款收支总表</w:t>
      </w:r>
    </w:p>
    <w:p w14:paraId="64BFECBD">
      <w:pPr>
        <w:pStyle w:val="7"/>
        <w:numPr>
          <w:ilvl w:val="0"/>
          <w:numId w:val="0"/>
        </w:numPr>
        <w:spacing w:line="240" w:lineRule="auto"/>
        <w:ind w:left="720" w:leftChars="0" w:hanging="720" w:firstLineChars="0"/>
        <w:rPr>
          <w:rFonts w:ascii="仿宋_GB2312" w:hAnsi="仿宋_GB2312" w:eastAsia="仿宋_GB2312" w:cs="仿宋_GB2312"/>
          <w:sz w:val="32"/>
          <w:szCs w:val="32"/>
          <w:u w:val="none"/>
        </w:rPr>
      </w:pPr>
      <w:r>
        <w:rPr>
          <w:rFonts w:hint="default"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u w:val="none"/>
        </w:rPr>
        <w:t>一般公共预算支出表</w:t>
      </w:r>
    </w:p>
    <w:p w14:paraId="744D19F8">
      <w:pPr>
        <w:pStyle w:val="7"/>
        <w:numPr>
          <w:ilvl w:val="0"/>
          <w:numId w:val="0"/>
        </w:numPr>
        <w:spacing w:line="240" w:lineRule="auto"/>
        <w:ind w:left="720" w:leftChars="0" w:hanging="720" w:firstLineChars="0"/>
        <w:rPr>
          <w:rFonts w:ascii="仿宋_GB2312" w:hAnsi="仿宋_GB2312" w:eastAsia="仿宋_GB2312" w:cs="仿宋_GB2312"/>
          <w:sz w:val="32"/>
          <w:szCs w:val="32"/>
          <w:u w:val="none"/>
        </w:rPr>
      </w:pPr>
      <w:r>
        <w:rPr>
          <w:rFonts w:hint="default"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u w:val="none"/>
        </w:rPr>
        <w:t>一般公共预算基本支出表</w:t>
      </w:r>
    </w:p>
    <w:p w14:paraId="3B7D9064">
      <w:pPr>
        <w:pStyle w:val="7"/>
        <w:numPr>
          <w:ilvl w:val="0"/>
          <w:numId w:val="0"/>
        </w:numPr>
        <w:spacing w:line="240" w:lineRule="auto"/>
        <w:ind w:left="720" w:leftChars="0" w:hanging="720" w:firstLineChars="0"/>
        <w:rPr>
          <w:rFonts w:ascii="仿宋_GB2312" w:hAnsi="仿宋_GB2312" w:eastAsia="仿宋_GB2312" w:cs="仿宋_GB2312"/>
          <w:sz w:val="32"/>
          <w:szCs w:val="32"/>
          <w:u w:val="none"/>
        </w:rPr>
      </w:pPr>
      <w:r>
        <w:rPr>
          <w:rFonts w:hint="default"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u w:val="none"/>
        </w:rPr>
        <w:t>一般公共预算“三公”经费支出表</w:t>
      </w:r>
    </w:p>
    <w:p w14:paraId="6AC34505">
      <w:pPr>
        <w:pStyle w:val="7"/>
        <w:numPr>
          <w:ilvl w:val="0"/>
          <w:numId w:val="0"/>
        </w:numPr>
        <w:spacing w:line="240" w:lineRule="auto"/>
        <w:ind w:left="720" w:leftChars="0" w:hanging="720" w:firstLineChars="0"/>
        <w:rPr>
          <w:rFonts w:ascii="仿宋_GB2312" w:hAnsi="仿宋_GB2312" w:eastAsia="仿宋_GB2312" w:cs="仿宋_GB2312"/>
          <w:sz w:val="32"/>
          <w:szCs w:val="32"/>
          <w:u w:val="none"/>
        </w:rPr>
      </w:pPr>
      <w:r>
        <w:rPr>
          <w:rFonts w:hint="default" w:ascii="仿宋_GB2312" w:hAnsi="仿宋_GB2312" w:eastAsia="仿宋_GB2312" w:cs="仿宋_GB2312"/>
          <w:kern w:val="2"/>
          <w:sz w:val="32"/>
          <w:szCs w:val="32"/>
          <w:lang w:val="en-US" w:eastAsia="zh-CN" w:bidi="ar-SA"/>
        </w:rPr>
        <w:t>五、</w:t>
      </w:r>
      <w:r>
        <w:rPr>
          <w:rFonts w:hint="eastAsia" w:ascii="仿宋_GB2312" w:hAnsi="仿宋_GB2312" w:eastAsia="仿宋_GB2312" w:cs="仿宋_GB2312"/>
          <w:sz w:val="32"/>
          <w:szCs w:val="32"/>
          <w:u w:val="none"/>
        </w:rPr>
        <w:t>政府性基金预算支出表</w:t>
      </w:r>
    </w:p>
    <w:p w14:paraId="743ACA77">
      <w:pPr>
        <w:pStyle w:val="7"/>
        <w:numPr>
          <w:ilvl w:val="0"/>
          <w:numId w:val="0"/>
        </w:numPr>
        <w:spacing w:line="240" w:lineRule="auto"/>
        <w:ind w:left="720" w:leftChars="0" w:hanging="720" w:firstLineChars="0"/>
        <w:rPr>
          <w:rFonts w:ascii="仿宋_GB2312" w:hAnsi="仿宋_GB2312" w:eastAsia="仿宋_GB2312" w:cs="仿宋_GB2312"/>
          <w:sz w:val="32"/>
          <w:szCs w:val="32"/>
          <w:u w:val="none"/>
        </w:rPr>
      </w:pPr>
      <w:r>
        <w:rPr>
          <w:rFonts w:hint="default" w:ascii="仿宋_GB2312" w:hAnsi="仿宋_GB2312" w:eastAsia="仿宋_GB2312" w:cs="仿宋_GB2312"/>
          <w:kern w:val="2"/>
          <w:sz w:val="32"/>
          <w:szCs w:val="32"/>
          <w:lang w:val="en-US" w:eastAsia="zh-CN" w:bidi="ar-SA"/>
        </w:rPr>
        <w:t>六、</w:t>
      </w:r>
      <w:r>
        <w:rPr>
          <w:rFonts w:hint="eastAsia" w:ascii="仿宋_GB2312" w:hAnsi="仿宋_GB2312" w:eastAsia="仿宋_GB2312" w:cs="仿宋_GB2312"/>
          <w:sz w:val="32"/>
          <w:szCs w:val="32"/>
          <w:u w:val="none"/>
        </w:rPr>
        <w:t>政府性基金预算“三公”经费支出表</w:t>
      </w:r>
    </w:p>
    <w:p w14:paraId="001EB2E1">
      <w:pPr>
        <w:pStyle w:val="7"/>
        <w:numPr>
          <w:ilvl w:val="0"/>
          <w:numId w:val="0"/>
        </w:numPr>
        <w:spacing w:line="240" w:lineRule="auto"/>
        <w:ind w:left="720" w:leftChars="0" w:hanging="720" w:firstLineChars="0"/>
        <w:jc w:val="left"/>
        <w:rPr>
          <w:rFonts w:hint="eastAsia" w:ascii="仿宋_GB2312" w:hAnsi="仿宋_GB2312" w:eastAsia="仿宋_GB2312" w:cs="仿宋_GB2312"/>
          <w:sz w:val="32"/>
          <w:szCs w:val="32"/>
          <w:u w:val="none"/>
        </w:rPr>
      </w:pPr>
      <w:r>
        <w:rPr>
          <w:rFonts w:hint="default" w:ascii="仿宋_GB2312" w:hAnsi="仿宋_GB2312" w:eastAsia="仿宋_GB2312" w:cs="仿宋_GB2312"/>
          <w:kern w:val="2"/>
          <w:sz w:val="32"/>
          <w:szCs w:val="32"/>
          <w:lang w:val="en-US" w:eastAsia="zh-CN" w:bidi="ar-SA"/>
        </w:rPr>
        <w:t>七、</w:t>
      </w:r>
      <w:r>
        <w:rPr>
          <w:rFonts w:hint="eastAsia" w:ascii="仿宋_GB2312" w:hAnsi="仿宋_GB2312" w:eastAsia="仿宋_GB2312" w:cs="仿宋_GB2312"/>
          <w:sz w:val="32"/>
          <w:szCs w:val="32"/>
          <w:u w:val="none"/>
          <w:lang w:eastAsia="zh-CN"/>
        </w:rPr>
        <w:t>国有资本经营预算支出表</w:t>
      </w:r>
    </w:p>
    <w:p w14:paraId="787D2802">
      <w:pPr>
        <w:pStyle w:val="7"/>
        <w:numPr>
          <w:ilvl w:val="0"/>
          <w:numId w:val="0"/>
        </w:numPr>
        <w:spacing w:line="240" w:lineRule="auto"/>
        <w:ind w:left="720" w:leftChars="0" w:hanging="720" w:firstLineChars="0"/>
        <w:jc w:val="left"/>
        <w:rPr>
          <w:rFonts w:hint="eastAsia" w:ascii="仿宋_GB2312" w:hAnsi="仿宋_GB2312" w:eastAsia="仿宋_GB2312" w:cs="仿宋_GB2312"/>
          <w:sz w:val="32"/>
          <w:szCs w:val="32"/>
          <w:u w:val="none"/>
        </w:rPr>
      </w:pPr>
      <w:r>
        <w:rPr>
          <w:rFonts w:hint="default" w:ascii="仿宋_GB2312" w:hAnsi="仿宋_GB2312" w:eastAsia="仿宋_GB2312" w:cs="仿宋_GB2312"/>
          <w:kern w:val="2"/>
          <w:sz w:val="32"/>
          <w:szCs w:val="32"/>
          <w:lang w:val="en-US" w:eastAsia="zh-CN" w:bidi="ar-SA"/>
        </w:rPr>
        <w:t>八、</w:t>
      </w: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14:paraId="06DF1656">
      <w:pPr>
        <w:pStyle w:val="7"/>
        <w:numPr>
          <w:ilvl w:val="0"/>
          <w:numId w:val="0"/>
        </w:numPr>
        <w:spacing w:line="240" w:lineRule="auto"/>
        <w:ind w:left="720" w:leftChars="0" w:hanging="720" w:firstLineChars="0"/>
        <w:jc w:val="left"/>
        <w:rPr>
          <w:rFonts w:ascii="黑体" w:hAnsi="黑体" w:eastAsia="黑体"/>
          <w:sz w:val="32"/>
          <w:szCs w:val="32"/>
          <w:u w:val="none"/>
        </w:rPr>
      </w:pPr>
      <w:r>
        <w:rPr>
          <w:rFonts w:hint="default" w:ascii="仿宋_GB2312" w:hAnsi="仿宋_GB2312" w:eastAsia="仿宋_GB2312" w:cs="仿宋_GB2312"/>
          <w:kern w:val="2"/>
          <w:sz w:val="32"/>
          <w:szCs w:val="32"/>
          <w:lang w:val="en-US" w:eastAsia="zh-CN" w:bidi="ar-SA"/>
        </w:rPr>
        <w:t>九、</w:t>
      </w: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14:paraId="184E2D67">
      <w:pPr>
        <w:pStyle w:val="7"/>
        <w:numPr>
          <w:ilvl w:val="0"/>
          <w:numId w:val="0"/>
        </w:numPr>
        <w:spacing w:line="240" w:lineRule="auto"/>
        <w:ind w:left="720" w:leftChars="0" w:hanging="720" w:firstLineChars="0"/>
        <w:jc w:val="left"/>
        <w:rPr>
          <w:rFonts w:ascii="黑体" w:hAnsi="黑体" w:eastAsia="黑体"/>
          <w:sz w:val="32"/>
          <w:szCs w:val="32"/>
          <w:u w:val="none"/>
        </w:rPr>
      </w:pPr>
      <w:r>
        <w:rPr>
          <w:rFonts w:hint="default" w:ascii="仿宋_GB2312" w:hAnsi="仿宋_GB2312" w:eastAsia="仿宋_GB2312" w:cs="仿宋_GB2312"/>
          <w:kern w:val="2"/>
          <w:sz w:val="32"/>
          <w:szCs w:val="32"/>
          <w:lang w:val="en-US" w:eastAsia="zh-CN" w:bidi="ar-SA"/>
        </w:rPr>
        <w:t>十、</w:t>
      </w: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14:paraId="716378F1">
      <w:pPr>
        <w:pStyle w:val="7"/>
        <w:numPr>
          <w:ilvl w:val="0"/>
          <w:numId w:val="0"/>
        </w:numPr>
        <w:spacing w:line="240" w:lineRule="auto"/>
        <w:ind w:left="720" w:leftChars="0" w:hanging="720" w:firstLineChars="0"/>
        <w:jc w:val="left"/>
        <w:rPr>
          <w:rFonts w:ascii="黑体" w:hAnsi="黑体" w:eastAsia="黑体"/>
          <w:sz w:val="32"/>
          <w:szCs w:val="32"/>
          <w:u w:val="none"/>
        </w:rPr>
      </w:pPr>
      <w:r>
        <w:rPr>
          <w:rFonts w:hint="default" w:ascii="仿宋_GB2312" w:hAnsi="仿宋_GB2312" w:eastAsia="仿宋_GB2312" w:cs="仿宋_GB2312"/>
          <w:kern w:val="2"/>
          <w:sz w:val="32"/>
          <w:szCs w:val="32"/>
          <w:lang w:val="en-US" w:eastAsia="zh-CN" w:bidi="ar-SA"/>
        </w:rPr>
        <w:t>十一、</w:t>
      </w:r>
      <w:r>
        <w:rPr>
          <w:rFonts w:hint="eastAsia" w:ascii="仿宋_GB2312" w:hAnsi="仿宋_GB2312" w:eastAsia="仿宋_GB2312" w:cs="仿宋_GB2312"/>
          <w:sz w:val="32"/>
          <w:szCs w:val="32"/>
          <w:u w:val="none"/>
        </w:rPr>
        <w:t>项目支出绩效信息表</w:t>
      </w:r>
    </w:p>
    <w:p w14:paraId="0631A51E">
      <w:pPr>
        <w:pStyle w:val="7"/>
        <w:numPr>
          <w:ilvl w:val="0"/>
          <w:numId w:val="0"/>
        </w:numPr>
        <w:spacing w:line="240" w:lineRule="auto"/>
        <w:ind w:left="1320" w:leftChars="0" w:hanging="132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第三部分  2026年单位预算情况说明</w:t>
      </w:r>
    </w:p>
    <w:p w14:paraId="6478DDC3">
      <w:pPr>
        <w:pStyle w:val="7"/>
        <w:numPr>
          <w:ilvl w:val="0"/>
          <w:numId w:val="0"/>
        </w:numPr>
        <w:spacing w:line="240" w:lineRule="auto"/>
        <w:ind w:left="1320" w:leftChars="0" w:hanging="132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第四部分  名词解释</w:t>
      </w:r>
    </w:p>
    <w:p w14:paraId="605A58D9">
      <w:pPr>
        <w:jc w:val="left"/>
        <w:rPr>
          <w:rFonts w:hint="eastAsia" w:ascii="黑体" w:hAnsi="黑体" w:eastAsia="黑体"/>
          <w:sz w:val="52"/>
          <w:szCs w:val="52"/>
          <w:u w:val="none"/>
        </w:rPr>
      </w:pPr>
    </w:p>
    <w:p w14:paraId="3E31C354">
      <w:pPr>
        <w:pStyle w:val="2"/>
      </w:pPr>
    </w:p>
    <w:p w14:paraId="567BF377">
      <w:pPr>
        <w:pStyle w:val="3"/>
        <w:sectPr>
          <w:footerReference r:id="rId3" w:type="default"/>
          <w:pgSz w:w="11906" w:h="16838"/>
          <w:pgMar w:top="2098" w:right="1474" w:bottom="1984" w:left="1587" w:header="851" w:footer="992" w:gutter="0"/>
          <w:pgNumType w:fmt="decimal" w:start="1"/>
          <w:cols w:space="720" w:num="1"/>
          <w:docGrid w:type="lines" w:linePitch="312" w:charSpace="0"/>
        </w:sectPr>
      </w:pPr>
    </w:p>
    <w:p w14:paraId="2C4F000C"/>
    <w:p w14:paraId="6BBB3127">
      <w:pPr>
        <w:pStyle w:val="7"/>
        <w:numPr>
          <w:ilvl w:val="0"/>
          <w:numId w:val="0"/>
        </w:numPr>
        <w:spacing w:line="560" w:lineRule="exact"/>
        <w:ind w:left="1320" w:leftChars="0" w:hanging="1320" w:firstLineChars="0"/>
        <w:jc w:val="center"/>
        <w:rPr>
          <w:rFonts w:hint="eastAsia" w:ascii="方正黑体_GBK" w:hAnsi="方正黑体_GBK" w:eastAsia="方正黑体_GBK" w:cs="方正黑体_GBK"/>
          <w:sz w:val="32"/>
          <w:szCs w:val="32"/>
          <w:u w:val="none"/>
        </w:rPr>
      </w:pPr>
      <w:r>
        <w:rPr>
          <w:rFonts w:hint="eastAsia" w:ascii="黑体" w:hAnsi="黑体" w:eastAsia="黑体" w:cs="黑体"/>
          <w:kern w:val="2"/>
          <w:sz w:val="32"/>
          <w:szCs w:val="32"/>
          <w:lang w:val="en-US" w:eastAsia="zh-CN" w:bidi="ar-SA"/>
        </w:rPr>
        <w:t>第一部分</w:t>
      </w: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lang w:eastAsia="zh-CN"/>
        </w:rPr>
        <w:t>宣传部</w:t>
      </w:r>
      <w:r>
        <w:rPr>
          <w:rFonts w:hint="eastAsia" w:ascii="黑体" w:hAnsi="黑体" w:eastAsia="黑体" w:cs="黑体"/>
          <w:sz w:val="32"/>
          <w:szCs w:val="32"/>
          <w:u w:val="none"/>
        </w:rPr>
        <w:t>概况</w:t>
      </w:r>
    </w:p>
    <w:p w14:paraId="27476E52">
      <w:pPr>
        <w:spacing w:line="560" w:lineRule="exact"/>
        <w:jc w:val="left"/>
        <w:rPr>
          <w:rFonts w:ascii="仿宋_GB2312" w:hAnsi="仿宋_GB2312" w:eastAsia="仿宋_GB2312" w:cs="仿宋_GB2312"/>
          <w:sz w:val="32"/>
          <w:szCs w:val="32"/>
          <w:u w:val="none"/>
        </w:rPr>
      </w:pPr>
    </w:p>
    <w:p w14:paraId="492150CA">
      <w:pPr>
        <w:pStyle w:val="7"/>
        <w:numPr>
          <w:ilvl w:val="0"/>
          <w:numId w:val="0"/>
        </w:numPr>
        <w:spacing w:line="560" w:lineRule="exact"/>
        <w:ind w:left="0" w:leftChars="0" w:firstLine="640" w:firstLineChars="200"/>
        <w:jc w:val="left"/>
        <w:rPr>
          <w:rFonts w:hint="eastAsia" w:ascii="黑体" w:hAnsi="黑体" w:eastAsia="黑体" w:cs="仿宋_GB2312"/>
          <w:sz w:val="32"/>
          <w:szCs w:val="32"/>
          <w:u w:val="none"/>
        </w:rPr>
      </w:pPr>
      <w:r>
        <w:rPr>
          <w:rFonts w:hint="eastAsia" w:ascii="黑体" w:hAnsi="黑体" w:eastAsia="黑体" w:cs="仿宋_GB2312"/>
          <w:kern w:val="2"/>
          <w:sz w:val="32"/>
          <w:szCs w:val="32"/>
          <w:lang w:val="en-US" w:eastAsia="zh-CN" w:bidi="ar-SA"/>
        </w:rPr>
        <w:t>一、</w:t>
      </w:r>
      <w:r>
        <w:rPr>
          <w:rFonts w:hint="eastAsia" w:ascii="黑体" w:hAnsi="黑体" w:eastAsia="黑体" w:cs="仿宋_GB2312"/>
          <w:sz w:val="32"/>
          <w:szCs w:val="32"/>
          <w:u w:val="none"/>
        </w:rPr>
        <w:t>主要职能</w:t>
      </w:r>
    </w:p>
    <w:p w14:paraId="7E4330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(1）宣传贯彻执行党的理论和路线、方针、政策，确保政令畅通。</w:t>
      </w:r>
    </w:p>
    <w:p w14:paraId="6551CD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（2）根据中央和省委、县委的决策部署，研究制定全县宣传思想文化工作规划并提出宣传系统社会事业发展的指导意见，并抓好组织实施和督促落实。</w:t>
      </w:r>
    </w:p>
    <w:p w14:paraId="5D8042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（3）负责组织、指导全县理论学习、理论研究、理论宣传方面的工作，掌握最新理论工作动态，总结和推广理论学习工作经验。</w:t>
      </w:r>
    </w:p>
    <w:p w14:paraId="4282A9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（4）负责县文化体制改革工作，统筹协调文化体制和文化事业、文化产业及旅游业发展，指导协调国有文化资产监管工作；对全县文化艺术、体育、广播电视、文联及有关团体工作实施指导、协调。</w:t>
      </w:r>
    </w:p>
    <w:p w14:paraId="1669FD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负责引导新闻舆论，把握舆论导向和宣传基调；指导、协调广播电视部门的工作；做好舆情信息、宣传信息收集和报送工作，及时报告有关情况、反映问题、提出意见建议，当好县委参谋助手，为县委决策提供服务。</w:t>
      </w:r>
    </w:p>
    <w:p w14:paraId="1E43BA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（6）负责规划、部署全局性的思想政治工作任务以及全县社会宣传、法制宣传、科技宣传和全民国防教育等工作。</w:t>
      </w:r>
    </w:p>
    <w:p w14:paraId="284114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（7）研究制定精神文明建设的规划、措施、对策；指导和协调全县精神文明建设工作，组织全县性的重大精神文明活动。</w:t>
      </w:r>
    </w:p>
    <w:p w14:paraId="00D8CC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（8）负责对全县新闻宣传和网络传播内容的检查与监督，统筹指导协调全县互联网宣传和信息内容管理工作。</w:t>
      </w:r>
    </w:p>
    <w:p w14:paraId="074692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（9）组织实施对外宣传工作，贯彻对外宣传工作的政策；组织、协调对外新闻报道和全县性的对外宣传重大活动。</w:t>
      </w:r>
    </w:p>
    <w:p w14:paraId="178544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（10）管理全县新闻出版行政事务、全县电影行政事务。</w:t>
      </w:r>
    </w:p>
    <w:p w14:paraId="7D4F9D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（11）承办县委和上级业务部门交办的其他工作。</w:t>
      </w:r>
    </w:p>
    <w:p w14:paraId="52AE5AC9">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14:paraId="09921C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（一）宣传部内设5个科室，包括</w:t>
      </w:r>
      <w:r>
        <w:rPr>
          <w:rFonts w:hint="eastAsia" w:ascii="仿宋_GB2312" w:hAnsi="仿宋_GB2312" w:eastAsia="仿宋_GB2312" w:cs="仿宋_GB2312"/>
          <w:sz w:val="32"/>
          <w:szCs w:val="32"/>
          <w:lang w:val="en-US" w:eastAsia="zh-CN"/>
        </w:rPr>
        <w:t>综合管理科室</w:t>
      </w:r>
      <w:r>
        <w:rPr>
          <w:rFonts w:hint="eastAsia" w:ascii="仿宋_GB2312" w:hAnsi="仿宋_GB2312" w:eastAsia="仿宋_GB2312" w:cs="仿宋_GB2312"/>
          <w:sz w:val="32"/>
          <w:szCs w:val="32"/>
          <w:lang w:val="en-US" w:eastAsia="zh-CN"/>
        </w:rPr>
        <w:t>、理论与意识形态科室</w:t>
      </w:r>
      <w:r>
        <w:rPr>
          <w:rFonts w:hint="eastAsia" w:ascii="仿宋_GB2312" w:hAnsi="仿宋_GB2312" w:eastAsia="仿宋_GB2312" w:cs="仿宋_GB2312"/>
          <w:sz w:val="32"/>
          <w:szCs w:val="32"/>
          <w:lang w:val="en-US" w:eastAsia="zh-CN"/>
        </w:rPr>
        <w:t>、新闻宣传科室</w:t>
      </w:r>
      <w:r>
        <w:rPr>
          <w:rFonts w:hint="eastAsia" w:ascii="仿宋_GB2312" w:hAnsi="仿宋_GB2312" w:eastAsia="仿宋_GB2312" w:cs="仿宋_GB2312"/>
          <w:sz w:val="32"/>
          <w:szCs w:val="32"/>
          <w:lang w:val="en-US" w:eastAsia="zh-CN"/>
        </w:rPr>
        <w:t>（对外宣传和新闻发布室）、精神文明建设科室</w:t>
      </w:r>
      <w:r>
        <w:rPr>
          <w:rFonts w:hint="eastAsia" w:ascii="仿宋_GB2312" w:hAnsi="仿宋_GB2312" w:eastAsia="仿宋_GB2312" w:cs="仿宋_GB2312"/>
          <w:sz w:val="32"/>
          <w:szCs w:val="32"/>
          <w:lang w:val="en-US" w:eastAsia="zh-CN"/>
        </w:rPr>
        <w:t>、文化艺术与出版印刷发行（版权）科室</w:t>
      </w:r>
      <w:r>
        <w:rPr>
          <w:rFonts w:hint="eastAsia" w:ascii="仿宋_GB2312" w:hAnsi="仿宋_GB2312" w:eastAsia="仿宋_GB2312" w:cs="仿宋_GB2312"/>
          <w:sz w:val="32"/>
          <w:szCs w:val="32"/>
          <w:lang w:val="en-US" w:eastAsia="zh-CN"/>
        </w:rPr>
        <w:t>。</w:t>
      </w:r>
    </w:p>
    <w:p w14:paraId="5FD22E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（二）纳入宣传部2</w:t>
      </w:r>
      <w:bookmarkStart w:id="0" w:name="_GoBack"/>
      <w:bookmarkEnd w:id="0"/>
      <w:r>
        <w:rPr>
          <w:rFonts w:hint="eastAsia" w:ascii="仿宋_GB2312" w:hAnsi="仿宋_GB2312" w:eastAsia="仿宋_GB2312" w:cs="仿宋_GB2312"/>
          <w:sz w:val="32"/>
          <w:szCs w:val="32"/>
          <w:lang w:val="en-US" w:eastAsia="zh-CN"/>
        </w:rPr>
        <w:t>026年部门预算编制范围的只有宣传部本级。</w:t>
      </w:r>
    </w:p>
    <w:p w14:paraId="6373864E">
      <w:pPr>
        <w:pStyle w:val="7"/>
        <w:numPr>
          <w:ilvl w:val="0"/>
          <w:numId w:val="0"/>
        </w:numPr>
        <w:spacing w:line="560" w:lineRule="exact"/>
        <w:jc w:val="center"/>
        <w:rPr>
          <w:rFonts w:hint="eastAsia" w:ascii="黑体" w:hAnsi="黑体" w:eastAsia="黑体" w:cs="黑体"/>
          <w:sz w:val="32"/>
          <w:szCs w:val="32"/>
          <w:u w:val="none"/>
        </w:rPr>
      </w:pPr>
      <w:r>
        <w:rPr>
          <w:rFonts w:hint="eastAsia" w:ascii="黑体" w:hAnsi="黑体" w:eastAsia="黑体" w:cs="黑体"/>
          <w:b w:val="0"/>
          <w:bCs/>
          <w:sz w:val="32"/>
          <w:szCs w:val="32"/>
          <w:u w:val="none"/>
          <w:lang w:eastAsia="zh-CN"/>
        </w:rPr>
        <w:t>第二部分</w:t>
      </w:r>
      <w:r>
        <w:rPr>
          <w:rFonts w:hint="eastAsia" w:ascii="黑体" w:hAnsi="黑体" w:eastAsia="黑体" w:cs="黑体"/>
          <w:b w:val="0"/>
          <w:bCs/>
          <w:sz w:val="32"/>
          <w:szCs w:val="32"/>
          <w:u w:val="none"/>
          <w:lang w:val="en-US" w:eastAsia="zh-CN"/>
        </w:rPr>
        <w:t xml:space="preserve">  2026</w:t>
      </w:r>
      <w:r>
        <w:rPr>
          <w:rFonts w:hint="eastAsia" w:ascii="黑体" w:hAnsi="黑体" w:eastAsia="黑体" w:cs="黑体"/>
          <w:b w:val="0"/>
          <w:bCs/>
          <w:sz w:val="32"/>
          <w:szCs w:val="32"/>
          <w:u w:val="none"/>
        </w:rPr>
        <w:t>年单位预算表</w:t>
      </w:r>
    </w:p>
    <w:p w14:paraId="02431928">
      <w:pPr>
        <w:spacing w:line="560" w:lineRule="exact"/>
        <w:ind w:left="0"/>
        <w:jc w:val="center"/>
        <w:rPr>
          <w:rFonts w:hint="eastAsia" w:ascii="仿宋_GB2312" w:hAnsi="黑体" w:eastAsia="仿宋_GB2312"/>
          <w:b/>
          <w:sz w:val="32"/>
          <w:szCs w:val="32"/>
          <w:u w:val="none"/>
        </w:rPr>
      </w:pPr>
    </w:p>
    <w:p w14:paraId="5BEF3170">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（此部分内容即为部门或单位预算公开表）</w:t>
      </w:r>
    </w:p>
    <w:p w14:paraId="1261A8E2">
      <w:pPr>
        <w:spacing w:line="560" w:lineRule="exact"/>
        <w:ind w:left="800"/>
        <w:jc w:val="center"/>
        <w:rPr>
          <w:rFonts w:hint="eastAsia" w:ascii="仿宋_GB2312" w:hAnsi="黑体" w:eastAsia="仿宋_GB2312"/>
          <w:b/>
          <w:sz w:val="32"/>
          <w:szCs w:val="32"/>
          <w:u w:val="none"/>
        </w:rPr>
      </w:pPr>
    </w:p>
    <w:p w14:paraId="092AB101">
      <w:pPr>
        <w:spacing w:line="560" w:lineRule="exact"/>
        <w:ind w:firstLine="0" w:firstLineChars="0"/>
        <w:jc w:val="center"/>
        <w:rPr>
          <w:rFonts w:hint="eastAsia" w:ascii="黑体" w:hAnsi="黑体" w:eastAsia="黑体" w:cs="黑体"/>
          <w:b w:val="0"/>
          <w:bCs/>
          <w:kern w:val="2"/>
          <w:sz w:val="32"/>
          <w:szCs w:val="32"/>
          <w:u w:val="none"/>
          <w:lang w:val="en-US" w:eastAsia="zh-CN" w:bidi="ar-SA"/>
        </w:rPr>
      </w:pPr>
      <w:r>
        <w:rPr>
          <w:rFonts w:hint="eastAsia" w:ascii="黑体" w:hAnsi="黑体" w:eastAsia="黑体" w:cs="黑体"/>
          <w:b w:val="0"/>
          <w:bCs/>
          <w:kern w:val="2"/>
          <w:sz w:val="32"/>
          <w:szCs w:val="32"/>
          <w:u w:val="none"/>
          <w:lang w:val="en-US" w:eastAsia="zh-CN" w:bidi="ar-SA"/>
        </w:rPr>
        <w:t>第三部分  2026年单位预算情况说明</w:t>
      </w:r>
    </w:p>
    <w:p w14:paraId="4D5F7A15">
      <w:pPr>
        <w:spacing w:line="560" w:lineRule="exact"/>
        <w:jc w:val="center"/>
        <w:rPr>
          <w:rFonts w:ascii="黑体" w:hAnsi="黑体" w:eastAsia="黑体"/>
          <w:sz w:val="32"/>
          <w:szCs w:val="32"/>
          <w:u w:val="none"/>
        </w:rPr>
      </w:pPr>
    </w:p>
    <w:p w14:paraId="4CFDE4A6">
      <w:pPr>
        <w:spacing w:line="560" w:lineRule="exact"/>
        <w:ind w:firstLine="640" w:firstLineChars="200"/>
        <w:jc w:val="left"/>
        <w:rPr>
          <w:rFonts w:hint="eastAsia" w:ascii="黑体" w:hAnsi="黑体" w:eastAsia="黑体" w:cs="黑体"/>
          <w:sz w:val="32"/>
          <w:szCs w:val="32"/>
          <w:u w:val="none"/>
        </w:rPr>
      </w:pPr>
      <w:r>
        <w:rPr>
          <w:rFonts w:hint="eastAsia" w:ascii="黑体" w:hAnsi="黑体" w:eastAsia="黑体" w:cs="黑体"/>
          <w:sz w:val="32"/>
          <w:szCs w:val="32"/>
          <w:u w:val="none"/>
        </w:rPr>
        <w:t>一、财政拨款收支预算</w:t>
      </w:r>
      <w:r>
        <w:rPr>
          <w:rFonts w:hint="eastAsia" w:ascii="黑体" w:hAnsi="黑体" w:eastAsia="黑体" w:cs="黑体"/>
          <w:sz w:val="32"/>
          <w:szCs w:val="32"/>
          <w:u w:val="none"/>
          <w:lang w:eastAsia="zh-CN"/>
        </w:rPr>
        <w:t>总体</w:t>
      </w:r>
      <w:r>
        <w:rPr>
          <w:rFonts w:hint="eastAsia" w:ascii="黑体" w:hAnsi="黑体" w:eastAsia="黑体" w:cs="黑体"/>
          <w:sz w:val="32"/>
          <w:szCs w:val="32"/>
          <w:u w:val="none"/>
        </w:rPr>
        <w:t>情况说明</w:t>
      </w:r>
    </w:p>
    <w:p w14:paraId="79A69270">
      <w:pPr>
        <w:spacing w:line="560" w:lineRule="exact"/>
        <w:ind w:firstLine="640" w:firstLineChars="200"/>
        <w:jc w:val="left"/>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宣传部</w:t>
      </w:r>
      <w:r>
        <w:rPr>
          <w:rFonts w:hint="eastAsia" w:ascii="仿宋_GB2312" w:hAnsi="黑体" w:eastAsia="仿宋_GB2312"/>
          <w:sz w:val="32"/>
          <w:szCs w:val="32"/>
          <w:u w:val="none"/>
          <w:lang w:val="en-US" w:eastAsia="zh-CN"/>
        </w:rPr>
        <w:t>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cs="仿宋_GB2312"/>
          <w:sz w:val="32"/>
          <w:szCs w:val="32"/>
          <w:u w:val="none"/>
          <w:lang w:val="en-US" w:eastAsia="zh-CN"/>
        </w:rPr>
        <w:t>2974.28</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903.92</w:t>
      </w:r>
      <w:r>
        <w:rPr>
          <w:rFonts w:hint="eastAsia" w:ascii="仿宋_GB2312" w:hAnsi="黑体" w:eastAsia="仿宋_GB2312"/>
          <w:sz w:val="32"/>
          <w:szCs w:val="32"/>
          <w:u w:val="none"/>
        </w:rPr>
        <w:t>万元，主要是一般公共预算资金</w:t>
      </w:r>
      <w:r>
        <w:rPr>
          <w:rFonts w:hint="eastAsia" w:ascii="仿宋_GB2312" w:hAnsi="黑体" w:eastAsia="仿宋_GB2312"/>
          <w:sz w:val="32"/>
          <w:szCs w:val="32"/>
          <w:u w:val="none"/>
          <w:lang w:eastAsia="zh-CN"/>
        </w:rPr>
        <w:t>，政府性基金预算资金</w:t>
      </w:r>
      <w:r>
        <w:rPr>
          <w:rFonts w:hint="eastAsia" w:ascii="仿宋_GB2312" w:hAnsi="黑体" w:eastAsia="仿宋_GB2312" w:cs="仿宋_GB2312"/>
          <w:sz w:val="32"/>
          <w:szCs w:val="32"/>
          <w:u w:val="none"/>
        </w:rPr>
        <w:t>减少</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s="仿宋_GB2312"/>
          <w:color w:val="auto"/>
          <w:sz w:val="32"/>
          <w:szCs w:val="32"/>
          <w:highlight w:val="none"/>
          <w:u w:val="none"/>
        </w:rPr>
        <w:t>1,487.14</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s="仿宋_GB2312"/>
          <w:color w:val="auto"/>
          <w:sz w:val="32"/>
          <w:szCs w:val="32"/>
          <w:highlight w:val="none"/>
          <w:u w:val="none"/>
        </w:rPr>
        <w:t>1,446.27</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rPr>
        <w:t>0.07</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s="仿宋_GB2312"/>
          <w:color w:val="auto"/>
          <w:sz w:val="32"/>
          <w:szCs w:val="32"/>
          <w:highlight w:val="none"/>
          <w:u w:val="none"/>
        </w:rPr>
        <w:t>40.80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color w:val="auto"/>
          <w:sz w:val="32"/>
          <w:szCs w:val="32"/>
          <w:highlight w:val="none"/>
          <w:u w:val="none"/>
        </w:rPr>
        <w:t>1,487.14</w:t>
      </w:r>
      <w:r>
        <w:rPr>
          <w:rFonts w:hint="eastAsia" w:ascii="仿宋_GB2312" w:hAnsi="黑体" w:eastAsia="仿宋_GB2312"/>
          <w:color w:val="auto"/>
          <w:sz w:val="32"/>
          <w:szCs w:val="32"/>
          <w:u w:val="none"/>
        </w:rPr>
        <w:t>万元，包括一般公共服务支出</w:t>
      </w:r>
      <w:r>
        <w:rPr>
          <w:rFonts w:hint="eastAsia" w:ascii="仿宋_GB2312" w:hAnsi="黑体" w:eastAsia="仿宋_GB2312" w:cs="仿宋_GB2312"/>
          <w:color w:val="auto"/>
          <w:sz w:val="32"/>
          <w:szCs w:val="32"/>
          <w:u w:val="none"/>
        </w:rPr>
        <w:t>1,272.97</w:t>
      </w:r>
      <w:r>
        <w:rPr>
          <w:rFonts w:hint="eastAsia" w:ascii="仿宋_GB2312" w:hAnsi="黑体" w:eastAsia="仿宋_GB2312"/>
          <w:color w:val="auto"/>
          <w:sz w:val="32"/>
          <w:szCs w:val="32"/>
          <w:u w:val="none"/>
        </w:rPr>
        <w:t>万元、文化旅游体育与传媒支出支出</w:t>
      </w:r>
      <w:r>
        <w:rPr>
          <w:rFonts w:hint="eastAsia" w:ascii="仿宋_GB2312" w:hAnsi="黑体" w:eastAsia="仿宋_GB2312" w:cs="仿宋_GB2312"/>
          <w:color w:val="auto"/>
          <w:sz w:val="32"/>
          <w:szCs w:val="32"/>
          <w:u w:val="none"/>
        </w:rPr>
        <w:t>105.1</w:t>
      </w:r>
      <w:r>
        <w:rPr>
          <w:rFonts w:hint="eastAsia" w:ascii="仿宋_GB2312" w:hAnsi="黑体" w:eastAsia="仿宋_GB2312" w:cs="仿宋_GB2312"/>
          <w:color w:val="auto"/>
          <w:sz w:val="32"/>
          <w:szCs w:val="32"/>
          <w:u w:val="none"/>
          <w:lang w:val="en-US" w:eastAsia="zh-CN"/>
        </w:rPr>
        <w:t>9</w:t>
      </w:r>
      <w:r>
        <w:rPr>
          <w:rFonts w:hint="eastAsia" w:ascii="仿宋_GB2312" w:hAnsi="黑体" w:eastAsia="仿宋_GB2312"/>
          <w:color w:val="auto"/>
          <w:sz w:val="32"/>
          <w:szCs w:val="32"/>
          <w:u w:val="none"/>
        </w:rPr>
        <w:t>万元、社会保障和就业</w:t>
      </w:r>
      <w:r>
        <w:rPr>
          <w:rFonts w:hint="eastAsia" w:ascii="仿宋_GB2312" w:hAnsi="黑体" w:eastAsia="仿宋_GB2312"/>
          <w:sz w:val="32"/>
          <w:szCs w:val="32"/>
          <w:u w:val="none"/>
        </w:rPr>
        <w:t>支出</w:t>
      </w:r>
      <w:r>
        <w:rPr>
          <w:rFonts w:hint="eastAsia" w:ascii="仿宋_GB2312" w:hAnsi="黑体" w:eastAsia="仿宋_GB2312" w:cs="仿宋_GB2312"/>
          <w:sz w:val="32"/>
          <w:szCs w:val="32"/>
          <w:u w:val="none"/>
        </w:rPr>
        <w:t>27.29</w:t>
      </w:r>
      <w:r>
        <w:rPr>
          <w:rFonts w:hint="eastAsia" w:ascii="仿宋_GB2312" w:hAnsi="黑体" w:eastAsia="仿宋_GB2312"/>
          <w:sz w:val="32"/>
          <w:szCs w:val="32"/>
          <w:u w:val="none"/>
        </w:rPr>
        <w:t>万元、卫生健康支出21.90万元，城乡社区支出40.80万元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农林水支出3.00万元</w:t>
      </w:r>
      <w:r>
        <w:rPr>
          <w:rFonts w:hint="eastAsia" w:ascii="仿宋_GB2312" w:hAnsi="黑体" w:eastAsia="仿宋_GB2312"/>
          <w:sz w:val="32"/>
          <w:szCs w:val="32"/>
          <w:u w:val="none"/>
          <w:lang w:eastAsia="zh-CN"/>
        </w:rPr>
        <w:t>，住房保障支出15.99</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 w:hAnsi="仿宋" w:eastAsia="仿宋" w:cs="仿宋"/>
          <w:sz w:val="32"/>
          <w:szCs w:val="32"/>
        </w:rPr>
        <w:t>结转下年</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_GB2312" w:hAnsi="黑体" w:eastAsia="仿宋_GB2312"/>
          <w:sz w:val="32"/>
          <w:szCs w:val="32"/>
          <w:u w:val="none"/>
          <w:lang w:eastAsia="zh-CN"/>
        </w:rPr>
        <w:t>。</w:t>
      </w:r>
    </w:p>
    <w:p w14:paraId="69AA004A">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14:paraId="542DDCAD">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14:paraId="207415B3">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宣传部</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w:t>
      </w:r>
      <w:r>
        <w:rPr>
          <w:rFonts w:hint="eastAsia" w:ascii="仿宋_GB2312" w:hAnsi="黑体" w:eastAsia="仿宋_GB2312" w:cs="仿宋_GB2312"/>
          <w:sz w:val="32"/>
          <w:szCs w:val="32"/>
          <w:u w:val="none"/>
        </w:rPr>
        <w:t>1,446.34</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257.27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新时代文明实践中心提升</w:t>
      </w:r>
      <w:r>
        <w:rPr>
          <w:rFonts w:hint="eastAsia" w:ascii="仿宋_GB2312" w:hAnsi="黑体" w:eastAsia="仿宋_GB2312"/>
          <w:sz w:val="32"/>
          <w:szCs w:val="32"/>
          <w:u w:val="none"/>
          <w:lang w:val="en-US" w:eastAsia="zh-CN"/>
        </w:rPr>
        <w:t>项目及文明生态村建设资金减少</w:t>
      </w:r>
      <w:r>
        <w:rPr>
          <w:rFonts w:hint="eastAsia" w:ascii="仿宋_GB2312" w:hAnsi="黑体" w:eastAsia="仿宋_GB2312"/>
          <w:sz w:val="32"/>
          <w:szCs w:val="32"/>
          <w:u w:val="none"/>
          <w:lang w:eastAsia="zh-CN"/>
        </w:rPr>
        <w:t>。</w:t>
      </w:r>
    </w:p>
    <w:p w14:paraId="6EC01EC4">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14:paraId="1A74B497">
      <w:pPr>
        <w:spacing w:line="560" w:lineRule="exact"/>
        <w:ind w:firstLine="800" w:firstLineChars="250"/>
        <w:rPr>
          <w:rFonts w:ascii="仿宋_GB2312" w:hAnsi="黑体" w:eastAsia="仿宋_GB2312"/>
          <w:sz w:val="32"/>
          <w:szCs w:val="32"/>
          <w:u w:val="none"/>
        </w:rPr>
      </w:pPr>
      <w:r>
        <w:rPr>
          <w:rFonts w:hint="eastAsia" w:ascii="仿宋_GB2312" w:hAnsi="黑体" w:eastAsia="仿宋_GB2312" w:cs="仿宋_GB2312"/>
          <w:sz w:val="32"/>
          <w:szCs w:val="32"/>
          <w:u w:val="none"/>
        </w:rPr>
        <w:t>一般公共服务（类）支出1,272.97</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88.01</w:t>
      </w:r>
      <w:r>
        <w:rPr>
          <w:rFonts w:hint="eastAsia" w:ascii="仿宋_GB2312" w:hAnsi="黑体" w:eastAsia="仿宋_GB2312"/>
          <w:sz w:val="32"/>
          <w:szCs w:val="32"/>
          <w:u w:val="none"/>
        </w:rPr>
        <w:t>%；文化旅游体育与传媒（类）</w:t>
      </w:r>
      <w:r>
        <w:rPr>
          <w:rFonts w:hint="eastAsia" w:ascii="仿宋_GB2312" w:hAnsi="黑体" w:eastAsia="仿宋_GB2312" w:cs="仿宋_GB2312"/>
          <w:sz w:val="32"/>
          <w:szCs w:val="32"/>
          <w:u w:val="none"/>
        </w:rPr>
        <w:t>支出105.18</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7.27</w:t>
      </w:r>
      <w:r>
        <w:rPr>
          <w:rFonts w:hint="eastAsia" w:ascii="仿宋_GB2312" w:hAnsi="黑体" w:eastAsia="仿宋_GB2312"/>
          <w:sz w:val="32"/>
          <w:szCs w:val="32"/>
          <w:u w:val="none"/>
        </w:rPr>
        <w:t>%；社会保障和就业（类）</w:t>
      </w:r>
      <w:r>
        <w:rPr>
          <w:rFonts w:hint="eastAsia" w:ascii="仿宋_GB2312" w:hAnsi="黑体" w:eastAsia="仿宋_GB2312" w:cs="仿宋_GB2312"/>
          <w:sz w:val="32"/>
          <w:szCs w:val="32"/>
          <w:u w:val="none"/>
        </w:rPr>
        <w:t>支出27.29</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1.89</w:t>
      </w:r>
      <w:r>
        <w:rPr>
          <w:rFonts w:hint="eastAsia" w:ascii="仿宋_GB2312" w:hAnsi="黑体" w:eastAsia="仿宋_GB2312"/>
          <w:sz w:val="32"/>
          <w:szCs w:val="32"/>
          <w:u w:val="none"/>
        </w:rPr>
        <w:t>%；卫生健康（类）</w:t>
      </w:r>
      <w:r>
        <w:rPr>
          <w:rFonts w:hint="eastAsia" w:ascii="仿宋_GB2312" w:hAnsi="黑体" w:eastAsia="仿宋_GB2312" w:cs="仿宋_GB2312"/>
          <w:sz w:val="32"/>
          <w:szCs w:val="32"/>
          <w:u w:val="none"/>
        </w:rPr>
        <w:t>支出21.90</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1.52</w:t>
      </w:r>
      <w:r>
        <w:rPr>
          <w:rFonts w:hint="eastAsia" w:ascii="仿宋_GB2312" w:hAnsi="黑体" w:eastAsia="仿宋_GB2312"/>
          <w:sz w:val="32"/>
          <w:szCs w:val="32"/>
          <w:u w:val="none"/>
        </w:rPr>
        <w:t>%；农林水（类）支出3.00万元，占</w:t>
      </w:r>
      <w:r>
        <w:rPr>
          <w:rFonts w:hint="eastAsia" w:ascii="仿宋_GB2312" w:hAnsi="黑体" w:eastAsia="仿宋_GB2312"/>
          <w:sz w:val="32"/>
          <w:szCs w:val="32"/>
          <w:u w:val="none"/>
          <w:lang w:val="en-US" w:eastAsia="zh-CN"/>
        </w:rPr>
        <w:t>0.21</w:t>
      </w:r>
      <w:r>
        <w:rPr>
          <w:rFonts w:hint="eastAsia" w:ascii="仿宋_GB2312" w:hAnsi="黑体" w:eastAsia="仿宋_GB2312"/>
          <w:sz w:val="32"/>
          <w:szCs w:val="32"/>
          <w:u w:val="none"/>
        </w:rPr>
        <w:t>%；住房保障（类）支出</w:t>
      </w:r>
      <w:r>
        <w:rPr>
          <w:rFonts w:hint="eastAsia" w:ascii="仿宋_GB2312" w:hAnsi="黑体" w:eastAsia="仿宋_GB2312" w:cs="仿宋_GB2312"/>
          <w:sz w:val="32"/>
          <w:szCs w:val="32"/>
          <w:u w:val="none"/>
        </w:rPr>
        <w:t>15.99</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1.10</w:t>
      </w:r>
      <w:r>
        <w:rPr>
          <w:rFonts w:hint="eastAsia" w:ascii="仿宋_GB2312" w:hAnsi="黑体" w:eastAsia="仿宋_GB2312"/>
          <w:sz w:val="32"/>
          <w:szCs w:val="32"/>
          <w:u w:val="none"/>
        </w:rPr>
        <w:t>%；</w:t>
      </w:r>
    </w:p>
    <w:p w14:paraId="026CFD0B">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14:paraId="4D536266">
      <w:pPr>
        <w:spacing w:line="560" w:lineRule="exact"/>
        <w:ind w:firstLine="800" w:firstLineChars="25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val="en-US" w:eastAsia="zh-CN"/>
        </w:rPr>
        <w:t>1</w:t>
      </w:r>
      <w:r>
        <w:rPr>
          <w:rFonts w:hint="eastAsia" w:ascii="仿宋_GB2312" w:hAnsi="黑体" w:eastAsia="仿宋_GB2312"/>
          <w:sz w:val="32"/>
          <w:szCs w:val="32"/>
          <w:u w:val="none"/>
        </w:rPr>
        <w:t>.一般公共服务（类）宣传事务（款）行政运行（项）</w:t>
      </w:r>
      <w:r>
        <w:rPr>
          <w:rFonts w:hint="eastAsia" w:ascii="仿宋_GB2312" w:hAnsi="黑体" w:eastAsia="仿宋_GB2312"/>
          <w:sz w:val="32"/>
          <w:szCs w:val="32"/>
          <w:u w:val="none"/>
          <w:lang w:val="en-US" w:eastAsia="zh-CN"/>
        </w:rPr>
        <w:t>2026</w:t>
      </w:r>
      <w:r>
        <w:rPr>
          <w:rFonts w:hint="eastAsia" w:ascii="仿宋_GB2312" w:hAnsi="黑体" w:eastAsia="仿宋_GB2312"/>
          <w:sz w:val="32"/>
          <w:szCs w:val="32"/>
          <w:u w:val="none"/>
        </w:rPr>
        <w:t>年预算数为176.16万元，比上年预算数减少</w:t>
      </w:r>
      <w:r>
        <w:rPr>
          <w:rFonts w:hint="eastAsia" w:ascii="仿宋_GB2312" w:hAnsi="黑体" w:eastAsia="仿宋_GB2312"/>
          <w:sz w:val="32"/>
          <w:szCs w:val="32"/>
          <w:u w:val="none"/>
          <w:lang w:val="en-US" w:eastAsia="zh-CN"/>
        </w:rPr>
        <w:t>14.68</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工资奖金津补贴及社保减少。</w:t>
      </w:r>
    </w:p>
    <w:p w14:paraId="0DAE5AAC">
      <w:pPr>
        <w:spacing w:line="560" w:lineRule="exact"/>
        <w:ind w:firstLine="800" w:firstLineChars="25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val="en-US" w:eastAsia="zh-CN"/>
        </w:rPr>
        <w:t>2</w:t>
      </w:r>
      <w:r>
        <w:rPr>
          <w:rFonts w:hint="eastAsia" w:ascii="仿宋_GB2312" w:hAnsi="黑体" w:eastAsia="仿宋_GB2312"/>
          <w:sz w:val="32"/>
          <w:szCs w:val="32"/>
          <w:u w:val="none"/>
        </w:rPr>
        <w:t>.一般公共服务（类）宣传事务（款）其他宣传事务支出（项）</w:t>
      </w:r>
      <w:r>
        <w:rPr>
          <w:rFonts w:hint="eastAsia" w:ascii="仿宋_GB2312" w:hAnsi="黑体" w:eastAsia="仿宋_GB2312"/>
          <w:sz w:val="32"/>
          <w:szCs w:val="32"/>
          <w:u w:val="none"/>
          <w:lang w:val="en-US" w:eastAsia="zh-CN"/>
        </w:rPr>
        <w:t>2026</w:t>
      </w:r>
      <w:r>
        <w:rPr>
          <w:rFonts w:hint="eastAsia" w:ascii="仿宋_GB2312" w:hAnsi="黑体" w:eastAsia="仿宋_GB2312"/>
          <w:sz w:val="32"/>
          <w:szCs w:val="32"/>
          <w:u w:val="none"/>
        </w:rPr>
        <w:t>年预算数为1,096.81万元，比上年预算数减少</w:t>
      </w:r>
      <w:r>
        <w:rPr>
          <w:rFonts w:hint="eastAsia" w:ascii="仿宋_GB2312" w:hAnsi="黑体" w:eastAsia="仿宋_GB2312"/>
          <w:sz w:val="32"/>
          <w:szCs w:val="32"/>
          <w:u w:val="none"/>
          <w:lang w:val="en-US" w:eastAsia="zh-CN"/>
        </w:rPr>
        <w:t>263.27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城市形象打造无预算、版权保护与促进工作费减少。</w:t>
      </w:r>
    </w:p>
    <w:p w14:paraId="56141B97">
      <w:pPr>
        <w:spacing w:line="560" w:lineRule="exact"/>
        <w:ind w:firstLine="800" w:firstLineChars="25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val="en-US" w:eastAsia="zh-CN"/>
        </w:rPr>
        <w:t>3.</w:t>
      </w:r>
      <w:r>
        <w:rPr>
          <w:rFonts w:hint="eastAsia" w:ascii="仿宋_GB2312" w:hAnsi="黑体" w:eastAsia="仿宋_GB2312"/>
          <w:sz w:val="32"/>
          <w:szCs w:val="32"/>
          <w:u w:val="none"/>
        </w:rPr>
        <w:t>文化旅游体育与传媒支出（类）其他文化旅游体育与传媒支出（款）其他文化旅游体育与传媒支出（项）</w:t>
      </w:r>
      <w:r>
        <w:rPr>
          <w:rFonts w:hint="eastAsia" w:ascii="仿宋_GB2312" w:hAnsi="黑体" w:eastAsia="仿宋_GB2312"/>
          <w:sz w:val="32"/>
          <w:szCs w:val="32"/>
          <w:u w:val="none"/>
          <w:lang w:val="en-US" w:eastAsia="zh-CN"/>
        </w:rPr>
        <w:t>2026</w:t>
      </w:r>
      <w:r>
        <w:rPr>
          <w:rFonts w:hint="eastAsia" w:ascii="仿宋_GB2312" w:hAnsi="黑体" w:eastAsia="仿宋_GB2312"/>
          <w:sz w:val="32"/>
          <w:szCs w:val="32"/>
          <w:u w:val="none"/>
        </w:rPr>
        <w:t>年预算数为</w:t>
      </w:r>
      <w:r>
        <w:rPr>
          <w:rFonts w:hint="eastAsia" w:ascii="仿宋_GB2312" w:hAnsi="黑体" w:eastAsia="仿宋_GB2312"/>
          <w:sz w:val="32"/>
          <w:szCs w:val="32"/>
          <w:u w:val="none"/>
          <w:lang w:val="en-US" w:eastAsia="zh-CN"/>
        </w:rPr>
        <w:t>105.18</w:t>
      </w:r>
      <w:r>
        <w:rPr>
          <w:rFonts w:hint="eastAsia" w:ascii="仿宋_GB2312" w:hAnsi="黑体" w:eastAsia="仿宋_GB2312"/>
          <w:sz w:val="32"/>
          <w:szCs w:val="32"/>
          <w:u w:val="none"/>
        </w:rPr>
        <w:t>万元，比上年预算数增加</w:t>
      </w:r>
      <w:r>
        <w:rPr>
          <w:rFonts w:hint="eastAsia" w:ascii="仿宋_GB2312" w:hAnsi="黑体" w:eastAsia="仿宋_GB2312"/>
          <w:sz w:val="32"/>
          <w:szCs w:val="32"/>
          <w:u w:val="none"/>
          <w:lang w:val="en-US" w:eastAsia="zh-CN"/>
        </w:rPr>
        <w:t>25.33</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上级专项文化发展资金创建文明村镇补助资金、中央支持地方公共文化服务体系建设补助资金</w:t>
      </w:r>
      <w:r>
        <w:rPr>
          <w:rFonts w:hint="eastAsia" w:ascii="仿宋_GB2312" w:hAnsi="黑体" w:eastAsia="仿宋_GB2312"/>
          <w:sz w:val="32"/>
          <w:szCs w:val="32"/>
          <w:u w:val="none"/>
        </w:rPr>
        <w:t>增加</w:t>
      </w:r>
      <w:r>
        <w:rPr>
          <w:rFonts w:hint="eastAsia" w:ascii="仿宋_GB2312" w:hAnsi="黑体" w:eastAsia="仿宋_GB2312"/>
          <w:sz w:val="32"/>
          <w:szCs w:val="32"/>
          <w:u w:val="none"/>
          <w:lang w:eastAsia="zh-CN"/>
        </w:rPr>
        <w:t>。</w:t>
      </w:r>
    </w:p>
    <w:p w14:paraId="541A3E94">
      <w:pPr>
        <w:spacing w:line="560" w:lineRule="exact"/>
        <w:ind w:firstLine="800" w:firstLineChars="25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val="en-US" w:eastAsia="zh-CN"/>
        </w:rPr>
        <w:t>4.</w:t>
      </w:r>
      <w:r>
        <w:rPr>
          <w:rFonts w:hint="eastAsia" w:ascii="仿宋_GB2312" w:hAnsi="黑体" w:eastAsia="仿宋_GB2312"/>
          <w:sz w:val="32"/>
          <w:szCs w:val="32"/>
          <w:u w:val="none"/>
        </w:rPr>
        <w:t>社会保障和就业支出（类）行政事业单位养老支出（款）机关事业单位基本养老保险缴费支出（项）</w:t>
      </w:r>
      <w:r>
        <w:rPr>
          <w:rFonts w:hint="eastAsia" w:ascii="仿宋_GB2312" w:hAnsi="黑体" w:eastAsia="仿宋_GB2312"/>
          <w:sz w:val="32"/>
          <w:szCs w:val="32"/>
          <w:u w:val="none"/>
          <w:lang w:val="en-US" w:eastAsia="zh-CN"/>
        </w:rPr>
        <w:t>2026</w:t>
      </w:r>
      <w:r>
        <w:rPr>
          <w:rFonts w:hint="eastAsia" w:ascii="仿宋_GB2312" w:hAnsi="黑体" w:eastAsia="仿宋_GB2312"/>
          <w:sz w:val="32"/>
          <w:szCs w:val="32"/>
          <w:u w:val="none"/>
        </w:rPr>
        <w:t>年预算数为</w:t>
      </w:r>
      <w:r>
        <w:rPr>
          <w:rFonts w:hint="eastAsia" w:ascii="仿宋_GB2312" w:hAnsi="黑体" w:eastAsia="仿宋_GB2312"/>
          <w:sz w:val="32"/>
          <w:szCs w:val="32"/>
          <w:u w:val="none"/>
          <w:lang w:val="en-US" w:eastAsia="zh-CN"/>
        </w:rPr>
        <w:t>18.20</w:t>
      </w:r>
      <w:r>
        <w:rPr>
          <w:rFonts w:hint="eastAsia" w:ascii="仿宋_GB2312" w:hAnsi="黑体" w:eastAsia="仿宋_GB2312"/>
          <w:sz w:val="32"/>
          <w:szCs w:val="32"/>
          <w:u w:val="none"/>
        </w:rPr>
        <w:t>万元，比上年预算数减少</w:t>
      </w:r>
      <w:r>
        <w:rPr>
          <w:rFonts w:hint="eastAsia" w:ascii="仿宋_GB2312" w:hAnsi="黑体" w:eastAsia="仿宋_GB2312"/>
          <w:sz w:val="32"/>
          <w:szCs w:val="32"/>
          <w:u w:val="none"/>
          <w:lang w:val="en-US" w:eastAsia="zh-CN"/>
        </w:rPr>
        <w:t>1.44</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基本养老保险费减少。</w:t>
      </w:r>
    </w:p>
    <w:p w14:paraId="032D9F84">
      <w:pPr>
        <w:spacing w:line="560" w:lineRule="exact"/>
        <w:ind w:firstLine="800" w:firstLineChars="250"/>
        <w:rPr>
          <w:rFonts w:hint="eastAsia" w:ascii="仿宋_GB2312" w:hAnsi="黑体" w:eastAsia="仿宋_GB2312"/>
          <w:sz w:val="32"/>
          <w:szCs w:val="32"/>
          <w:u w:val="none"/>
        </w:rPr>
      </w:pPr>
      <w:r>
        <w:rPr>
          <w:rFonts w:hint="eastAsia" w:ascii="仿宋_GB2312" w:hAnsi="黑体" w:eastAsia="仿宋_GB2312"/>
          <w:sz w:val="32"/>
          <w:szCs w:val="32"/>
          <w:u w:val="none"/>
          <w:lang w:val="en-US" w:eastAsia="zh-CN"/>
        </w:rPr>
        <w:t>5.</w:t>
      </w:r>
      <w:r>
        <w:rPr>
          <w:rFonts w:hint="eastAsia" w:ascii="仿宋_GB2312" w:hAnsi="黑体" w:eastAsia="仿宋_GB2312"/>
          <w:sz w:val="32"/>
          <w:szCs w:val="32"/>
          <w:u w:val="none"/>
        </w:rPr>
        <w:t>社会保障和就业支出（类）行政事业单位养老支出（款）机关事业单位职业年金缴费支出（项）</w:t>
      </w:r>
      <w:r>
        <w:rPr>
          <w:rFonts w:hint="eastAsia" w:ascii="仿宋_GB2312" w:hAnsi="黑体" w:eastAsia="仿宋_GB2312"/>
          <w:sz w:val="32"/>
          <w:szCs w:val="32"/>
          <w:u w:val="none"/>
          <w:lang w:val="en-US" w:eastAsia="zh-CN"/>
        </w:rPr>
        <w:t>2026</w:t>
      </w:r>
      <w:r>
        <w:rPr>
          <w:rFonts w:hint="eastAsia" w:ascii="仿宋_GB2312" w:hAnsi="黑体" w:eastAsia="仿宋_GB2312"/>
          <w:sz w:val="32"/>
          <w:szCs w:val="32"/>
          <w:u w:val="none"/>
        </w:rPr>
        <w:t>年预算数为</w:t>
      </w:r>
      <w:r>
        <w:rPr>
          <w:rFonts w:hint="eastAsia" w:ascii="仿宋_GB2312" w:hAnsi="黑体" w:eastAsia="仿宋_GB2312"/>
          <w:sz w:val="32"/>
          <w:szCs w:val="32"/>
          <w:u w:val="none"/>
          <w:lang w:val="en-US" w:eastAsia="zh-CN"/>
        </w:rPr>
        <w:t>9.10</w:t>
      </w:r>
      <w:r>
        <w:rPr>
          <w:rFonts w:hint="eastAsia" w:ascii="仿宋_GB2312" w:hAnsi="黑体" w:eastAsia="仿宋_GB2312"/>
          <w:sz w:val="32"/>
          <w:szCs w:val="32"/>
          <w:u w:val="none"/>
        </w:rPr>
        <w:t>万元，比上年预算数</w:t>
      </w:r>
      <w:r>
        <w:rPr>
          <w:rFonts w:hint="eastAsia" w:ascii="仿宋_GB2312" w:hAnsi="黑体" w:eastAsia="仿宋_GB2312"/>
          <w:sz w:val="32"/>
          <w:szCs w:val="32"/>
          <w:u w:val="none"/>
          <w:lang w:eastAsia="zh-CN"/>
        </w:rPr>
        <w:t>减少</w:t>
      </w:r>
      <w:r>
        <w:rPr>
          <w:rFonts w:hint="eastAsia" w:ascii="仿宋_GB2312" w:hAnsi="黑体" w:eastAsia="仿宋_GB2312"/>
          <w:sz w:val="32"/>
          <w:szCs w:val="32"/>
          <w:u w:val="none"/>
          <w:lang w:val="en-US" w:eastAsia="zh-CN"/>
        </w:rPr>
        <w:t>0.72</w:t>
      </w:r>
      <w:r>
        <w:rPr>
          <w:rFonts w:hint="eastAsia" w:ascii="仿宋_GB2312" w:hAnsi="黑体" w:eastAsia="仿宋_GB2312"/>
          <w:sz w:val="32"/>
          <w:szCs w:val="32"/>
          <w:u w:val="none"/>
        </w:rPr>
        <w:t>万元，主要机关事业单位职业年金缴费</w:t>
      </w:r>
      <w:r>
        <w:rPr>
          <w:rFonts w:hint="eastAsia" w:ascii="仿宋_GB2312" w:hAnsi="黑体" w:eastAsia="仿宋_GB2312"/>
          <w:sz w:val="32"/>
          <w:szCs w:val="32"/>
          <w:u w:val="none"/>
          <w:lang w:eastAsia="zh-CN"/>
        </w:rPr>
        <w:t>减少。</w:t>
      </w:r>
    </w:p>
    <w:p w14:paraId="571720DC">
      <w:pPr>
        <w:spacing w:line="560" w:lineRule="exact"/>
        <w:ind w:firstLine="800" w:firstLineChars="25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val="en-US" w:eastAsia="zh-CN"/>
        </w:rPr>
        <w:t>6.</w:t>
      </w:r>
      <w:r>
        <w:rPr>
          <w:rFonts w:hint="eastAsia" w:ascii="仿宋_GB2312" w:hAnsi="黑体" w:eastAsia="仿宋_GB2312"/>
          <w:sz w:val="32"/>
          <w:szCs w:val="32"/>
          <w:u w:val="none"/>
        </w:rPr>
        <w:t>卫生健康支出（类）行政事业单位医疗（款）行政单位医疗（项）</w:t>
      </w:r>
      <w:r>
        <w:rPr>
          <w:rFonts w:hint="eastAsia" w:ascii="仿宋_GB2312" w:hAnsi="黑体" w:eastAsia="仿宋_GB2312"/>
          <w:sz w:val="32"/>
          <w:szCs w:val="32"/>
          <w:u w:val="none"/>
          <w:lang w:val="en-US" w:eastAsia="zh-CN"/>
        </w:rPr>
        <w:t>2026</w:t>
      </w:r>
      <w:r>
        <w:rPr>
          <w:rFonts w:hint="eastAsia" w:ascii="仿宋_GB2312" w:hAnsi="黑体" w:eastAsia="仿宋_GB2312"/>
          <w:sz w:val="32"/>
          <w:szCs w:val="32"/>
          <w:u w:val="none"/>
        </w:rPr>
        <w:t>年预算数为</w:t>
      </w:r>
      <w:r>
        <w:rPr>
          <w:rFonts w:hint="eastAsia" w:ascii="仿宋_GB2312" w:hAnsi="黑体" w:eastAsia="仿宋_GB2312"/>
          <w:sz w:val="32"/>
          <w:szCs w:val="32"/>
          <w:u w:val="none"/>
          <w:lang w:val="en-US" w:eastAsia="zh-CN"/>
        </w:rPr>
        <w:t>6.31</w:t>
      </w:r>
      <w:r>
        <w:rPr>
          <w:rFonts w:hint="eastAsia" w:ascii="仿宋_GB2312" w:hAnsi="黑体" w:eastAsia="仿宋_GB2312"/>
          <w:sz w:val="32"/>
          <w:szCs w:val="32"/>
          <w:u w:val="none"/>
        </w:rPr>
        <w:t>万元，比上年预算数</w:t>
      </w:r>
      <w:r>
        <w:rPr>
          <w:rFonts w:hint="eastAsia" w:ascii="仿宋_GB2312" w:hAnsi="黑体" w:eastAsia="仿宋_GB2312"/>
          <w:sz w:val="32"/>
          <w:szCs w:val="32"/>
          <w:u w:val="none"/>
          <w:lang w:eastAsia="zh-CN"/>
        </w:rPr>
        <w:t>减少</w:t>
      </w:r>
      <w:r>
        <w:rPr>
          <w:rFonts w:hint="eastAsia" w:ascii="仿宋_GB2312" w:hAnsi="黑体" w:eastAsia="仿宋_GB2312"/>
          <w:sz w:val="32"/>
          <w:szCs w:val="32"/>
          <w:u w:val="none"/>
          <w:lang w:val="en-US" w:eastAsia="zh-CN"/>
        </w:rPr>
        <w:t>0.61</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职工基本医疗保险费减少。</w:t>
      </w:r>
    </w:p>
    <w:p w14:paraId="4AF414B5">
      <w:pPr>
        <w:spacing w:line="560" w:lineRule="exact"/>
        <w:ind w:firstLine="800" w:firstLineChars="25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val="en-US" w:eastAsia="zh-CN"/>
        </w:rPr>
        <w:t>7.</w:t>
      </w:r>
      <w:r>
        <w:rPr>
          <w:rFonts w:hint="eastAsia" w:ascii="仿宋_GB2312" w:hAnsi="黑体" w:eastAsia="仿宋_GB2312"/>
          <w:sz w:val="32"/>
          <w:szCs w:val="32"/>
          <w:u w:val="none"/>
        </w:rPr>
        <w:t>卫生健康支出（类）行政事业单位医疗（款）公务员医疗补助（项）</w:t>
      </w:r>
      <w:r>
        <w:rPr>
          <w:rFonts w:hint="eastAsia" w:ascii="仿宋_GB2312" w:hAnsi="黑体" w:eastAsia="仿宋_GB2312"/>
          <w:sz w:val="32"/>
          <w:szCs w:val="32"/>
          <w:u w:val="none"/>
          <w:lang w:val="en-US" w:eastAsia="zh-CN"/>
        </w:rPr>
        <w:t>2026</w:t>
      </w:r>
      <w:r>
        <w:rPr>
          <w:rFonts w:hint="eastAsia" w:ascii="仿宋_GB2312" w:hAnsi="黑体" w:eastAsia="仿宋_GB2312"/>
          <w:sz w:val="32"/>
          <w:szCs w:val="32"/>
          <w:u w:val="none"/>
        </w:rPr>
        <w:t>年预算数为</w:t>
      </w:r>
      <w:r>
        <w:rPr>
          <w:rFonts w:hint="eastAsia" w:ascii="仿宋_GB2312" w:hAnsi="黑体" w:eastAsia="仿宋_GB2312"/>
          <w:sz w:val="32"/>
          <w:szCs w:val="32"/>
          <w:u w:val="none"/>
          <w:lang w:val="en-US" w:eastAsia="zh-CN"/>
        </w:rPr>
        <w:t>15.60</w:t>
      </w:r>
      <w:r>
        <w:rPr>
          <w:rFonts w:hint="eastAsia" w:ascii="仿宋_GB2312" w:hAnsi="黑体" w:eastAsia="仿宋_GB2312"/>
          <w:sz w:val="32"/>
          <w:szCs w:val="32"/>
          <w:u w:val="none"/>
        </w:rPr>
        <w:t>万元，比上年预算数</w:t>
      </w:r>
      <w:r>
        <w:rPr>
          <w:rFonts w:hint="eastAsia" w:ascii="仿宋_GB2312" w:hAnsi="黑体" w:eastAsia="仿宋_GB2312"/>
          <w:sz w:val="32"/>
          <w:szCs w:val="32"/>
          <w:u w:val="none"/>
          <w:lang w:eastAsia="zh-CN"/>
        </w:rPr>
        <w:t>减少</w:t>
      </w:r>
      <w:r>
        <w:rPr>
          <w:rFonts w:hint="eastAsia" w:ascii="仿宋_GB2312" w:hAnsi="黑体" w:eastAsia="仿宋_GB2312"/>
          <w:sz w:val="32"/>
          <w:szCs w:val="32"/>
          <w:u w:val="none"/>
          <w:lang w:val="en-US" w:eastAsia="zh-CN"/>
        </w:rPr>
        <w:t>0.47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公务员医疗补助费减少。</w:t>
      </w:r>
    </w:p>
    <w:p w14:paraId="718C1201">
      <w:pPr>
        <w:spacing w:line="560" w:lineRule="exact"/>
        <w:ind w:firstLine="800" w:firstLineChars="250"/>
        <w:rPr>
          <w:rFonts w:hint="eastAsia" w:ascii="仿宋_GB2312" w:hAnsi="黑体" w:eastAsia="仿宋_GB2312"/>
          <w:sz w:val="32"/>
          <w:szCs w:val="32"/>
          <w:u w:val="none"/>
          <w:lang w:eastAsia="zh-CN"/>
        </w:rPr>
      </w:pPr>
    </w:p>
    <w:p w14:paraId="60429041">
      <w:pPr>
        <w:spacing w:line="560" w:lineRule="exact"/>
        <w:ind w:firstLine="800" w:firstLineChars="25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val="en-US" w:eastAsia="zh-CN"/>
        </w:rPr>
        <w:t>8.</w:t>
      </w:r>
      <w:r>
        <w:rPr>
          <w:rFonts w:hint="eastAsia" w:ascii="仿宋_GB2312" w:hAnsi="黑体" w:eastAsia="仿宋_GB2312"/>
          <w:sz w:val="32"/>
          <w:szCs w:val="32"/>
          <w:u w:val="none"/>
        </w:rPr>
        <w:t>农林水支出（类）巩固脱贫攻坚成果衔接乡村振兴（款）其他巩固脱贫攻坚成果衔接乡村振兴支出（项）</w:t>
      </w:r>
      <w:r>
        <w:rPr>
          <w:rFonts w:hint="eastAsia" w:ascii="仿宋_GB2312" w:hAnsi="黑体" w:eastAsia="仿宋_GB2312"/>
          <w:sz w:val="32"/>
          <w:szCs w:val="32"/>
          <w:u w:val="none"/>
          <w:lang w:val="en-US" w:eastAsia="zh-CN"/>
        </w:rPr>
        <w:t>2026</w:t>
      </w:r>
      <w:r>
        <w:rPr>
          <w:rFonts w:hint="eastAsia" w:ascii="仿宋_GB2312" w:hAnsi="黑体" w:eastAsia="仿宋_GB2312"/>
          <w:sz w:val="32"/>
          <w:szCs w:val="32"/>
          <w:u w:val="none"/>
        </w:rPr>
        <w:t>年预算数为</w:t>
      </w:r>
      <w:r>
        <w:rPr>
          <w:rFonts w:hint="eastAsia" w:ascii="仿宋_GB2312" w:hAnsi="黑体" w:eastAsia="仿宋_GB2312"/>
          <w:sz w:val="32"/>
          <w:szCs w:val="32"/>
          <w:u w:val="none"/>
          <w:lang w:val="en-US" w:eastAsia="zh-CN"/>
        </w:rPr>
        <w:t>3.00</w:t>
      </w:r>
      <w:r>
        <w:rPr>
          <w:rFonts w:hint="eastAsia" w:ascii="仿宋_GB2312" w:hAnsi="黑体" w:eastAsia="仿宋_GB2312"/>
          <w:sz w:val="32"/>
          <w:szCs w:val="32"/>
          <w:u w:val="none"/>
        </w:rPr>
        <w:t>万元，比上年预算数</w:t>
      </w:r>
      <w:r>
        <w:rPr>
          <w:rFonts w:hint="eastAsia" w:ascii="仿宋_GB2312" w:hAnsi="黑体" w:eastAsia="仿宋_GB2312"/>
          <w:sz w:val="32"/>
          <w:szCs w:val="32"/>
          <w:u w:val="none"/>
          <w:lang w:eastAsia="zh-CN"/>
        </w:rPr>
        <w:t>增加</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与上年持平。</w:t>
      </w:r>
    </w:p>
    <w:p w14:paraId="6A6910DA">
      <w:pPr>
        <w:spacing w:line="560" w:lineRule="exact"/>
        <w:ind w:firstLine="800" w:firstLineChars="250"/>
        <w:rPr>
          <w:rFonts w:hint="eastAsia" w:ascii="仿宋_GB2312" w:hAnsi="黑体" w:eastAsia="仿宋_GB2312"/>
          <w:sz w:val="32"/>
          <w:szCs w:val="32"/>
          <w:u w:val="none"/>
        </w:rPr>
      </w:pPr>
      <w:r>
        <w:rPr>
          <w:rFonts w:hint="eastAsia" w:ascii="仿宋_GB2312" w:hAnsi="黑体" w:eastAsia="仿宋_GB2312"/>
          <w:sz w:val="32"/>
          <w:szCs w:val="32"/>
          <w:u w:val="none"/>
          <w:lang w:val="en-US" w:eastAsia="zh-CN"/>
        </w:rPr>
        <w:t>9.住房保障支出</w:t>
      </w:r>
      <w:r>
        <w:rPr>
          <w:rFonts w:hint="eastAsia" w:ascii="仿宋_GB2312" w:hAnsi="黑体" w:eastAsia="仿宋_GB2312"/>
          <w:sz w:val="32"/>
          <w:szCs w:val="32"/>
          <w:u w:val="none"/>
        </w:rPr>
        <w:t>（类）住房改革支出（款）住房公积金（项）</w:t>
      </w:r>
      <w:r>
        <w:rPr>
          <w:rFonts w:hint="eastAsia" w:ascii="仿宋_GB2312" w:hAnsi="黑体" w:eastAsia="仿宋_GB2312"/>
          <w:sz w:val="32"/>
          <w:szCs w:val="32"/>
          <w:u w:val="none"/>
          <w:lang w:val="en-US" w:eastAsia="zh-CN"/>
        </w:rPr>
        <w:t>2026</w:t>
      </w:r>
      <w:r>
        <w:rPr>
          <w:rFonts w:hint="eastAsia" w:ascii="仿宋_GB2312" w:hAnsi="黑体" w:eastAsia="仿宋_GB2312"/>
          <w:sz w:val="32"/>
          <w:szCs w:val="32"/>
          <w:u w:val="none"/>
        </w:rPr>
        <w:t>年预算数为</w:t>
      </w:r>
      <w:r>
        <w:rPr>
          <w:rFonts w:hint="eastAsia" w:ascii="仿宋_GB2312" w:hAnsi="黑体" w:eastAsia="仿宋_GB2312"/>
          <w:sz w:val="32"/>
          <w:szCs w:val="32"/>
          <w:u w:val="none"/>
          <w:lang w:val="en-US" w:eastAsia="zh-CN"/>
        </w:rPr>
        <w:t>15.99</w:t>
      </w:r>
      <w:r>
        <w:rPr>
          <w:rFonts w:hint="eastAsia" w:ascii="仿宋_GB2312" w:hAnsi="黑体" w:eastAsia="仿宋_GB2312"/>
          <w:sz w:val="32"/>
          <w:szCs w:val="32"/>
          <w:u w:val="none"/>
        </w:rPr>
        <w:t>万元，比上年预算数</w:t>
      </w:r>
      <w:r>
        <w:rPr>
          <w:rFonts w:hint="eastAsia" w:ascii="仿宋_GB2312" w:hAnsi="黑体" w:eastAsia="仿宋_GB2312"/>
          <w:sz w:val="32"/>
          <w:szCs w:val="32"/>
          <w:u w:val="none"/>
          <w:lang w:eastAsia="zh-CN"/>
        </w:rPr>
        <w:t>减少</w:t>
      </w:r>
      <w:r>
        <w:rPr>
          <w:rFonts w:hint="eastAsia" w:ascii="仿宋_GB2312" w:hAnsi="黑体" w:eastAsia="仿宋_GB2312"/>
          <w:sz w:val="32"/>
          <w:szCs w:val="32"/>
          <w:u w:val="none"/>
          <w:lang w:val="en-US" w:eastAsia="zh-CN"/>
        </w:rPr>
        <w:t>1.25</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住房公积金减少。</w:t>
      </w:r>
    </w:p>
    <w:p w14:paraId="6CCBBFC4">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14:paraId="29B5B448">
      <w:pPr>
        <w:spacing w:line="560" w:lineRule="exact"/>
        <w:ind w:firstLine="800" w:firstLineChars="250"/>
        <w:rPr>
          <w:rFonts w:hint="eastAsia" w:ascii="仿宋_GB2312" w:hAnsi="黑体" w:eastAsia="仿宋_GB2312"/>
          <w:sz w:val="32"/>
          <w:szCs w:val="32"/>
          <w:u w:val="none"/>
          <w:lang w:val="en-US" w:eastAsia="zh-CN"/>
        </w:rPr>
      </w:pPr>
      <w:r>
        <w:rPr>
          <w:rFonts w:hint="eastAsia" w:ascii="仿宋_GB2312" w:hAnsi="黑体" w:eastAsia="仿宋_GB2312"/>
          <w:sz w:val="32"/>
          <w:szCs w:val="32"/>
          <w:u w:val="none"/>
          <w:lang w:val="en-US" w:eastAsia="zh-CN"/>
        </w:rPr>
        <w:t>宣传部2026年一般公共预算基本支出为241.35万元，其中：</w:t>
      </w:r>
    </w:p>
    <w:p w14:paraId="1CDA62E7">
      <w:pPr>
        <w:spacing w:line="560" w:lineRule="exact"/>
        <w:ind w:firstLine="800" w:firstLineChars="250"/>
        <w:rPr>
          <w:rFonts w:hint="eastAsia" w:ascii="仿宋_GB2312" w:hAnsi="黑体" w:eastAsia="仿宋_GB2312"/>
          <w:sz w:val="32"/>
          <w:szCs w:val="32"/>
          <w:u w:val="none"/>
          <w:lang w:val="en-US" w:eastAsia="zh-CN"/>
        </w:rPr>
      </w:pPr>
      <w:r>
        <w:rPr>
          <w:rFonts w:hint="eastAsia" w:ascii="仿宋_GB2312" w:hAnsi="黑体" w:eastAsia="仿宋_GB2312"/>
          <w:sz w:val="32"/>
          <w:szCs w:val="32"/>
          <w:u w:val="none"/>
          <w:lang w:val="en-US" w:eastAsia="zh-CN"/>
        </w:rPr>
        <w:t>人员经费207.16万元，主要包括：基本工资、津贴补贴、奖金、绩效工资、机关事业单位基本养老保险缴费、职业年金缴费、职工基本医疗保险缴费、公务员医疗补助缴费、其他社会保障缴费、住房公积金、商品和服务支出、邮电费、其他交通费用。</w:t>
      </w:r>
    </w:p>
    <w:p w14:paraId="71F5CBCD">
      <w:pPr>
        <w:spacing w:line="560" w:lineRule="exact"/>
        <w:ind w:firstLine="800" w:firstLineChars="250"/>
        <w:rPr>
          <w:rFonts w:hint="eastAsia" w:ascii="仿宋_GB2312" w:hAnsi="黑体" w:eastAsia="仿宋_GB2312"/>
          <w:sz w:val="32"/>
          <w:szCs w:val="32"/>
          <w:u w:val="none"/>
          <w:lang w:val="en-US" w:eastAsia="zh-CN"/>
        </w:rPr>
      </w:pPr>
      <w:r>
        <w:rPr>
          <w:rFonts w:hint="eastAsia" w:ascii="仿宋_GB2312" w:hAnsi="黑体" w:eastAsia="仿宋_GB2312"/>
          <w:sz w:val="32"/>
          <w:szCs w:val="32"/>
          <w:u w:val="none"/>
          <w:lang w:val="en-US" w:eastAsia="zh-CN"/>
        </w:rPr>
        <w:t>公用经费34.19万元，主要包括：办公费、印刷费、手续费、邮电费、差旅费、维修（护）费、培训费、公务接待费、工会经费、公务用车运行维护费、其他商品和服务支出、办公设备购置。</w:t>
      </w:r>
    </w:p>
    <w:p w14:paraId="06F3BAA0">
      <w:pPr>
        <w:spacing w:line="560" w:lineRule="exact"/>
        <w:ind w:firstLine="640" w:firstLineChars="0"/>
        <w:rPr>
          <w:rFonts w:hint="eastAsia" w:ascii="黑体" w:hAnsi="黑体" w:eastAsia="黑体" w:cs="黑体"/>
          <w:sz w:val="32"/>
          <w:szCs w:val="32"/>
          <w:u w:val="none"/>
          <w:shd w:val="clear" w:color="auto" w:fill="auto"/>
        </w:rPr>
      </w:pPr>
      <w:r>
        <w:rPr>
          <w:rFonts w:hint="eastAsia" w:ascii="黑体" w:hAnsi="黑体" w:eastAsia="黑体" w:cs="黑体"/>
          <w:sz w:val="32"/>
          <w:szCs w:val="32"/>
          <w:u w:val="none"/>
          <w:shd w:val="clear" w:color="auto" w:fill="auto"/>
        </w:rPr>
        <w:t>四、“三公”经费预算情况说明</w:t>
      </w:r>
    </w:p>
    <w:p w14:paraId="1C3B158C">
      <w:pPr>
        <w:spacing w:line="560" w:lineRule="exact"/>
        <w:ind w:firstLine="800" w:firstLineChars="250"/>
        <w:rPr>
          <w:rFonts w:hint="eastAsia" w:ascii="楷体_GB2312" w:hAnsi="楷体_GB2312" w:eastAsia="楷体_GB2312" w:cs="楷体_GB2312"/>
          <w:sz w:val="32"/>
          <w:szCs w:val="32"/>
          <w:u w:val="none"/>
          <w:lang w:val="en-US" w:eastAsia="zh-CN"/>
        </w:rPr>
      </w:pPr>
      <w:r>
        <w:rPr>
          <w:rFonts w:hint="eastAsia" w:ascii="楷体_GB2312" w:hAnsi="楷体_GB2312" w:eastAsia="楷体_GB2312" w:cs="楷体_GB2312"/>
          <w:sz w:val="32"/>
          <w:szCs w:val="32"/>
          <w:u w:val="none"/>
          <w:lang w:val="en-US" w:eastAsia="zh-CN"/>
        </w:rPr>
        <w:t>（一）宣传部2026年一般公共预算“三公”经费预算数为6.60万元，其中：</w:t>
      </w:r>
    </w:p>
    <w:p w14:paraId="0681658E">
      <w:pPr>
        <w:spacing w:line="560" w:lineRule="exact"/>
        <w:ind w:firstLine="800" w:firstLineChars="250"/>
        <w:rPr>
          <w:rFonts w:hint="eastAsia" w:ascii="仿宋_GB2312" w:hAnsi="黑体" w:eastAsia="仿宋_GB2312"/>
          <w:sz w:val="32"/>
          <w:szCs w:val="32"/>
          <w:u w:val="none"/>
          <w:lang w:val="en-US" w:eastAsia="zh-CN"/>
        </w:rPr>
      </w:pPr>
      <w:r>
        <w:rPr>
          <w:rFonts w:hint="eastAsia" w:ascii="仿宋_GB2312" w:hAnsi="黑体" w:eastAsia="仿宋_GB2312"/>
          <w:sz w:val="32"/>
          <w:szCs w:val="32"/>
          <w:u w:val="none"/>
          <w:lang w:val="en-US" w:eastAsia="zh-CN"/>
        </w:rPr>
        <w:t>因公出国（境）经费0万元，与上年预算持平。根据宣传部（如外事部门等）安排的出国计划，2026年拟安排出国（境）团（组）0次，出国（境）0人。</w:t>
      </w:r>
    </w:p>
    <w:p w14:paraId="569E397A">
      <w:pPr>
        <w:spacing w:line="560" w:lineRule="exact"/>
        <w:ind w:firstLine="800" w:firstLineChars="250"/>
        <w:rPr>
          <w:rFonts w:hint="eastAsia" w:ascii="仿宋_GB2312" w:hAnsi="黑体" w:eastAsia="仿宋_GB2312"/>
          <w:sz w:val="32"/>
          <w:szCs w:val="32"/>
          <w:u w:val="none"/>
          <w:lang w:val="en-US" w:eastAsia="zh-CN"/>
        </w:rPr>
      </w:pPr>
      <w:r>
        <w:rPr>
          <w:rFonts w:hint="eastAsia" w:ascii="仿宋_GB2312" w:hAnsi="黑体" w:eastAsia="仿宋_GB2312"/>
          <w:sz w:val="32"/>
          <w:szCs w:val="32"/>
          <w:u w:val="none"/>
          <w:lang w:val="en-US" w:eastAsia="zh-CN"/>
        </w:rPr>
        <w:t>公务用车购置及运行费6.10万元（其中，公务用车购置费0万元，公务用车运行费6.10万元），与上年预算持平；公务车保有量3辆，计划购置0辆。</w:t>
      </w:r>
    </w:p>
    <w:p w14:paraId="2DCF6D37">
      <w:pPr>
        <w:spacing w:line="560" w:lineRule="exact"/>
        <w:ind w:firstLine="800" w:firstLineChars="250"/>
        <w:rPr>
          <w:rFonts w:hint="eastAsia" w:ascii="仿宋_GB2312" w:hAnsi="黑体" w:eastAsia="仿宋_GB2312"/>
          <w:sz w:val="32"/>
          <w:szCs w:val="32"/>
          <w:u w:val="none"/>
          <w:lang w:val="en-US" w:eastAsia="zh-CN"/>
        </w:rPr>
      </w:pPr>
      <w:r>
        <w:rPr>
          <w:rFonts w:hint="eastAsia" w:ascii="仿宋_GB2312" w:hAnsi="黑体" w:eastAsia="仿宋_GB2312"/>
          <w:sz w:val="32"/>
          <w:szCs w:val="32"/>
          <w:u w:val="none"/>
          <w:lang w:val="en-US" w:eastAsia="zh-CN"/>
        </w:rPr>
        <w:t>公务接待费0.5万元，与上年预算持平，计划接待5批40人。</w:t>
      </w:r>
    </w:p>
    <w:p w14:paraId="214106A4">
      <w:pPr>
        <w:spacing w:line="560" w:lineRule="exact"/>
        <w:ind w:firstLine="800" w:firstLineChars="250"/>
        <w:rPr>
          <w:rFonts w:hint="eastAsia" w:ascii="楷体_GB2312" w:hAnsi="楷体_GB2312" w:eastAsia="楷体_GB2312" w:cs="楷体_GB2312"/>
          <w:sz w:val="32"/>
          <w:szCs w:val="32"/>
          <w:u w:val="none"/>
          <w:lang w:val="en-US" w:eastAsia="zh-CN"/>
        </w:rPr>
      </w:pPr>
      <w:r>
        <w:rPr>
          <w:rFonts w:hint="eastAsia" w:ascii="楷体_GB2312" w:hAnsi="楷体_GB2312" w:eastAsia="楷体_GB2312" w:cs="楷体_GB2312"/>
          <w:sz w:val="32"/>
          <w:szCs w:val="32"/>
          <w:u w:val="none"/>
          <w:lang w:val="en-US" w:eastAsia="zh-CN"/>
        </w:rPr>
        <w:t>（二）宣传部2026年政府性基金预算“三公”经费预算数为0万元，其中：</w:t>
      </w:r>
    </w:p>
    <w:p w14:paraId="4B6E428C">
      <w:pPr>
        <w:spacing w:line="560" w:lineRule="exact"/>
        <w:ind w:firstLine="800" w:firstLineChars="250"/>
        <w:rPr>
          <w:rFonts w:hint="eastAsia" w:ascii="仿宋_GB2312" w:hAnsi="黑体" w:eastAsia="仿宋_GB2312"/>
          <w:sz w:val="32"/>
          <w:szCs w:val="32"/>
          <w:u w:val="none"/>
          <w:lang w:val="en-US" w:eastAsia="zh-CN"/>
        </w:rPr>
      </w:pPr>
      <w:r>
        <w:rPr>
          <w:rFonts w:hint="eastAsia" w:ascii="仿宋_GB2312" w:hAnsi="黑体" w:eastAsia="仿宋_GB2312"/>
          <w:sz w:val="32"/>
          <w:szCs w:val="32"/>
          <w:u w:val="none"/>
          <w:lang w:val="en-US" w:eastAsia="zh-CN"/>
        </w:rPr>
        <w:t>因公出国（境）经费0万元，与上年预算持平。根据宣传部（如外事部门等）安排的2026年出国计划，拟安排出国（境）组0次，出国（境）0人。</w:t>
      </w:r>
    </w:p>
    <w:p w14:paraId="271F1F62">
      <w:pPr>
        <w:spacing w:line="560" w:lineRule="exact"/>
        <w:ind w:firstLine="800" w:firstLineChars="250"/>
        <w:rPr>
          <w:rFonts w:hint="eastAsia" w:ascii="仿宋_GB2312" w:hAnsi="黑体" w:eastAsia="仿宋_GB2312"/>
          <w:sz w:val="32"/>
          <w:szCs w:val="32"/>
          <w:u w:val="none"/>
          <w:lang w:val="en-US" w:eastAsia="zh-CN"/>
        </w:rPr>
      </w:pPr>
      <w:r>
        <w:rPr>
          <w:rFonts w:hint="eastAsia" w:ascii="仿宋_GB2312" w:hAnsi="黑体" w:eastAsia="仿宋_GB2312"/>
          <w:sz w:val="32"/>
          <w:szCs w:val="32"/>
          <w:u w:val="none"/>
          <w:lang w:val="en-US" w:eastAsia="zh-CN"/>
        </w:rPr>
        <w:t>公务用车购置及运行费0万元（其中，公务用车购置费0万元，公务用车运行费0万元），与上年预算持平；公务车保有量0辆，计划购置0辆。</w:t>
      </w:r>
    </w:p>
    <w:p w14:paraId="233C2F71">
      <w:pPr>
        <w:spacing w:line="560" w:lineRule="exact"/>
        <w:ind w:firstLine="800" w:firstLineChars="250"/>
        <w:rPr>
          <w:rFonts w:hint="eastAsia" w:ascii="仿宋_GB2312" w:hAnsi="黑体" w:eastAsia="仿宋_GB2312"/>
          <w:sz w:val="32"/>
          <w:szCs w:val="32"/>
          <w:u w:val="none"/>
          <w:lang w:val="en-US" w:eastAsia="zh-CN"/>
        </w:rPr>
      </w:pPr>
      <w:r>
        <w:rPr>
          <w:rFonts w:hint="eastAsia" w:ascii="仿宋_GB2312" w:hAnsi="黑体" w:eastAsia="仿宋_GB2312"/>
          <w:sz w:val="32"/>
          <w:szCs w:val="32"/>
          <w:u w:val="none"/>
          <w:lang w:val="en-US" w:eastAsia="zh-CN"/>
        </w:rPr>
        <w:t>公务接待费0万元，与上年预算持平，计划接待0批0人。</w:t>
      </w:r>
    </w:p>
    <w:p w14:paraId="0882874F">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14:paraId="47495F66">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14:paraId="0FDE398E">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宣传部</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年政府性基金预算当年拨款</w:t>
      </w:r>
      <w:r>
        <w:rPr>
          <w:rFonts w:hint="eastAsia" w:ascii="仿宋_GB2312" w:hAnsi="黑体" w:eastAsia="仿宋_GB2312" w:cs="仿宋_GB2312"/>
          <w:sz w:val="32"/>
          <w:szCs w:val="32"/>
          <w:u w:val="none"/>
          <w:lang w:val="en-US" w:eastAsia="zh-CN"/>
        </w:rPr>
        <w:t>40.80</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194.69</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主要是城乡社区支出</w:t>
      </w:r>
      <w:r>
        <w:rPr>
          <w:rFonts w:hint="eastAsia" w:ascii="仿宋_GB2312" w:hAnsi="黑体" w:eastAsia="仿宋_GB2312" w:cs="仿宋_GB2312"/>
          <w:sz w:val="32"/>
          <w:szCs w:val="32"/>
          <w:u w:val="none"/>
        </w:rPr>
        <w:t>减少</w:t>
      </w:r>
      <w:r>
        <w:rPr>
          <w:rFonts w:hint="eastAsia" w:ascii="仿宋_GB2312" w:hAnsi="黑体" w:eastAsia="仿宋_GB2312"/>
          <w:sz w:val="32"/>
          <w:szCs w:val="32"/>
          <w:u w:val="none"/>
          <w:lang w:eastAsia="zh-CN"/>
        </w:rPr>
        <w:t>。</w:t>
      </w:r>
    </w:p>
    <w:p w14:paraId="5EAE830E">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（二）政府性基金预算当年拨款结构情况</w:t>
      </w:r>
    </w:p>
    <w:p w14:paraId="747A7B8C">
      <w:pPr>
        <w:spacing w:line="560" w:lineRule="exact"/>
        <w:ind w:firstLine="800" w:firstLineChars="250"/>
        <w:rPr>
          <w:rFonts w:ascii="仿宋_GB2312" w:hAnsi="黑体" w:eastAsia="仿宋_GB2312"/>
          <w:sz w:val="32"/>
          <w:szCs w:val="32"/>
          <w:u w:val="none"/>
        </w:rPr>
      </w:pPr>
      <w:r>
        <w:rPr>
          <w:rFonts w:hint="eastAsia" w:ascii="仿宋_GB2312" w:hAnsi="黑体" w:eastAsia="仿宋_GB2312" w:cs="仿宋_GB2312"/>
          <w:sz w:val="32"/>
          <w:szCs w:val="32"/>
          <w:u w:val="none"/>
        </w:rPr>
        <w:t>城乡社区支出（类）支出</w:t>
      </w:r>
      <w:r>
        <w:rPr>
          <w:rFonts w:hint="eastAsia" w:ascii="仿宋_GB2312" w:hAnsi="黑体" w:eastAsia="仿宋_GB2312" w:cs="仿宋_GB2312"/>
          <w:sz w:val="32"/>
          <w:szCs w:val="32"/>
          <w:u w:val="none"/>
          <w:lang w:val="en-US" w:eastAsia="zh-CN"/>
        </w:rPr>
        <w:t>40.80</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100</w:t>
      </w:r>
      <w:r>
        <w:rPr>
          <w:rFonts w:hint="eastAsia" w:ascii="仿宋_GB2312" w:hAnsi="黑体" w:eastAsia="仿宋_GB2312"/>
          <w:sz w:val="32"/>
          <w:szCs w:val="32"/>
          <w:u w:val="none"/>
        </w:rPr>
        <w:t>%。</w:t>
      </w:r>
    </w:p>
    <w:p w14:paraId="4E301502">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（三）政府性基金预算当年拨款具体使用情况</w:t>
      </w:r>
    </w:p>
    <w:p w14:paraId="219F6AD1">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rPr>
        <w:t>1.城乡社区支出（类）国有土地使用权出让收入安排的支出（款）农村基础设施建设支出（项）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年预算数为</w:t>
      </w:r>
      <w:r>
        <w:rPr>
          <w:rFonts w:hint="eastAsia" w:ascii="仿宋_GB2312" w:hAnsi="黑体" w:eastAsia="仿宋_GB2312" w:cs="仿宋_GB2312"/>
          <w:sz w:val="32"/>
          <w:szCs w:val="32"/>
          <w:u w:val="none"/>
        </w:rPr>
        <w:t>10.80</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10.80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主要是</w:t>
      </w:r>
      <w:r>
        <w:rPr>
          <w:rFonts w:hint="eastAsia" w:ascii="仿宋_GB2312" w:hAnsi="黑体" w:eastAsia="仿宋_GB2312"/>
          <w:sz w:val="32"/>
          <w:szCs w:val="32"/>
          <w:u w:val="none"/>
          <w:lang w:eastAsia="zh-CN"/>
        </w:rPr>
        <w:t>上年没有</w:t>
      </w:r>
      <w:r>
        <w:rPr>
          <w:rFonts w:hint="eastAsia" w:ascii="仿宋_GB2312" w:hAnsi="黑体" w:eastAsia="仿宋_GB2312" w:cs="仿宋_GB2312"/>
          <w:sz w:val="32"/>
          <w:szCs w:val="32"/>
          <w:u w:val="none"/>
        </w:rPr>
        <w:t>农村基础设施建设支出</w:t>
      </w:r>
      <w:r>
        <w:rPr>
          <w:rFonts w:hint="eastAsia" w:ascii="仿宋_GB2312" w:hAnsi="黑体" w:eastAsia="仿宋_GB2312"/>
          <w:sz w:val="32"/>
          <w:szCs w:val="32"/>
          <w:u w:val="none"/>
        </w:rPr>
        <w:t>。</w:t>
      </w:r>
    </w:p>
    <w:p w14:paraId="4A52C652">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rPr>
        <w:t>2.</w:t>
      </w:r>
      <w:r>
        <w:rPr>
          <w:rFonts w:hint="eastAsia" w:ascii="仿宋_GB2312" w:hAnsi="黑体" w:eastAsia="仿宋_GB2312" w:cs="仿宋_GB2312"/>
          <w:sz w:val="32"/>
          <w:szCs w:val="32"/>
          <w:u w:val="none"/>
        </w:rPr>
        <w:t>城乡社区支出（类）国有土地使用权出让收入安排的支出（款）农村社会事业支出（项）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年预算数为</w:t>
      </w:r>
      <w:r>
        <w:rPr>
          <w:rFonts w:hint="eastAsia" w:ascii="仿宋_GB2312" w:hAnsi="黑体" w:eastAsia="仿宋_GB2312" w:cs="仿宋_GB2312"/>
          <w:sz w:val="32"/>
          <w:szCs w:val="32"/>
          <w:u w:val="none"/>
          <w:lang w:val="en-US" w:eastAsia="zh-CN"/>
        </w:rPr>
        <w:t>30.00</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83.13</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新时代文明实践中心提升项目费减少</w:t>
      </w:r>
      <w:r>
        <w:rPr>
          <w:rFonts w:hint="eastAsia" w:ascii="仿宋_GB2312" w:hAnsi="黑体" w:eastAsia="仿宋_GB2312"/>
          <w:sz w:val="32"/>
          <w:szCs w:val="32"/>
          <w:u w:val="none"/>
        </w:rPr>
        <w:t>。</w:t>
      </w:r>
    </w:p>
    <w:p w14:paraId="743A21A6">
      <w:pPr>
        <w:numPr>
          <w:ilvl w:val="0"/>
          <w:numId w:val="1"/>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14:paraId="038DD296">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宣传部</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，与上年持平。</w:t>
      </w:r>
    </w:p>
    <w:p w14:paraId="3DCC7E84">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14:paraId="20128AF1">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w:t>
      </w:r>
      <w:r>
        <w:rPr>
          <w:rFonts w:hint="eastAsia" w:ascii="仿宋_GB2312" w:hAnsi="黑体" w:eastAsia="仿宋_GB2312" w:cs="仿宋_GB2312"/>
          <w:sz w:val="32"/>
          <w:szCs w:val="32"/>
          <w:u w:val="none"/>
          <w:lang w:eastAsia="zh-CN"/>
        </w:rPr>
        <w:t>宣传部</w:t>
      </w:r>
      <w:r>
        <w:rPr>
          <w:rFonts w:hint="eastAsia" w:ascii="仿宋_GB2312" w:hAnsi="黑体" w:eastAsia="仿宋_GB2312" w:cs="仿宋_GB2312"/>
          <w:sz w:val="32"/>
          <w:szCs w:val="32"/>
          <w:u w:val="none"/>
        </w:rPr>
        <w:t>所有收入和支出均纳入部门预算管理。</w:t>
      </w:r>
      <w:r>
        <w:rPr>
          <w:rFonts w:hint="eastAsia" w:ascii="仿宋_GB2312" w:hAnsi="黑体" w:eastAsia="仿宋_GB2312" w:cs="仿宋_GB2312"/>
          <w:sz w:val="32"/>
          <w:szCs w:val="32"/>
          <w:u w:val="none"/>
          <w:lang w:val="en-US" w:eastAsia="zh-CN"/>
        </w:rPr>
        <w:t>宣传部2026</w:t>
      </w:r>
      <w:r>
        <w:rPr>
          <w:rFonts w:hint="eastAsia" w:ascii="仿宋_GB2312" w:hAnsi="黑体" w:eastAsia="仿宋_GB2312"/>
          <w:sz w:val="32"/>
          <w:szCs w:val="32"/>
          <w:u w:val="none"/>
        </w:rPr>
        <w:t>年收支总预算</w:t>
      </w:r>
      <w:r>
        <w:rPr>
          <w:rFonts w:hint="eastAsia" w:ascii="仿宋_GB2312" w:hAnsi="黑体" w:eastAsia="仿宋_GB2312" w:cs="仿宋_GB2312"/>
          <w:sz w:val="32"/>
          <w:szCs w:val="32"/>
          <w:u w:val="none"/>
          <w:lang w:val="en-US" w:eastAsia="zh-CN"/>
        </w:rPr>
        <w:t>3134.68</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收入包括：一般公共预算收入、政府性基金收入、</w:t>
      </w:r>
      <w:r>
        <w:rPr>
          <w:rFonts w:hint="eastAsia" w:ascii="仿宋_GB2312" w:hAnsi="黑体" w:eastAsia="仿宋_GB2312" w:cs="仿宋_GB2312"/>
          <w:sz w:val="32"/>
          <w:szCs w:val="32"/>
          <w:highlight w:val="none"/>
          <w:u w:val="none"/>
          <w:lang w:eastAsia="zh-CN"/>
        </w:rPr>
        <w:t>其他收入</w:t>
      </w:r>
      <w:r>
        <w:rPr>
          <w:rFonts w:hint="eastAsia" w:ascii="仿宋_GB2312" w:hAnsi="黑体" w:eastAsia="仿宋_GB2312" w:cs="仿宋_GB2312"/>
          <w:sz w:val="32"/>
          <w:szCs w:val="32"/>
          <w:highlight w:val="none"/>
          <w:u w:val="none"/>
        </w:rPr>
        <w:t>、上年结转收入</w:t>
      </w:r>
      <w:r>
        <w:rPr>
          <w:rFonts w:hint="eastAsia" w:ascii="仿宋_GB2312" w:hAnsi="黑体" w:eastAsia="仿宋_GB2312"/>
          <w:sz w:val="32"/>
          <w:szCs w:val="32"/>
          <w:highlight w:val="none"/>
          <w:u w:val="none"/>
        </w:rPr>
        <w:t>；支出包括：一般公共服务支出、文化旅游体育与传媒支出、社会保障和就业支出、卫生健康支出、城乡社区支出、农林水支出</w:t>
      </w:r>
      <w:r>
        <w:rPr>
          <w:rFonts w:hint="eastAsia" w:ascii="仿宋_GB2312" w:hAnsi="黑体" w:eastAsia="仿宋_GB2312"/>
          <w:sz w:val="32"/>
          <w:szCs w:val="32"/>
          <w:highlight w:val="none"/>
          <w:u w:val="none"/>
          <w:lang w:eastAsia="zh-CN"/>
        </w:rPr>
        <w:t>、住房保障支出</w:t>
      </w:r>
      <w:r>
        <w:rPr>
          <w:rFonts w:hint="eastAsia" w:ascii="仿宋_GB2312" w:hAnsi="黑体" w:eastAsia="仿宋_GB2312"/>
          <w:sz w:val="32"/>
          <w:szCs w:val="32"/>
          <w:u w:val="none"/>
        </w:rPr>
        <w:t>。</w:t>
      </w:r>
    </w:p>
    <w:p w14:paraId="14E2F119">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14:paraId="066923BD">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eastAsia="zh-CN"/>
        </w:rPr>
        <w:t>宣传部</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年收入预算</w:t>
      </w:r>
      <w:r>
        <w:rPr>
          <w:rFonts w:hint="eastAsia" w:ascii="仿宋_GB2312" w:hAnsi="黑体" w:eastAsia="仿宋_GB2312" w:cs="仿宋_GB2312"/>
          <w:sz w:val="32"/>
          <w:szCs w:val="32"/>
          <w:u w:val="none"/>
        </w:rPr>
        <w:t>1,567.34</w:t>
      </w:r>
      <w:r>
        <w:rPr>
          <w:rFonts w:hint="eastAsia" w:ascii="仿宋_GB2312" w:hAnsi="黑体" w:eastAsia="仿宋_GB2312"/>
          <w:sz w:val="32"/>
          <w:szCs w:val="32"/>
          <w:u w:val="none"/>
        </w:rPr>
        <w:t>万元，其中：上年结转</w:t>
      </w:r>
      <w:r>
        <w:rPr>
          <w:rFonts w:hint="eastAsia" w:ascii="仿宋_GB2312" w:hAnsi="黑体" w:eastAsia="仿宋_GB2312"/>
          <w:sz w:val="32"/>
          <w:szCs w:val="32"/>
          <w:u w:val="none"/>
          <w:lang w:val="en-US" w:eastAsia="zh-CN"/>
        </w:rPr>
        <w:t>0.07</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0.01</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cs="仿宋_GB2312"/>
          <w:sz w:val="32"/>
          <w:szCs w:val="32"/>
          <w:u w:val="none"/>
        </w:rPr>
        <w:t>1,446.27</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92.27</w:t>
      </w:r>
      <w:r>
        <w:rPr>
          <w:rFonts w:hint="eastAsia" w:ascii="仿宋_GB2312" w:hAnsi="黑体" w:eastAsia="仿宋_GB2312"/>
          <w:sz w:val="32"/>
          <w:szCs w:val="32"/>
          <w:u w:val="none"/>
        </w:rPr>
        <w:t>%；政府性基金</w:t>
      </w:r>
      <w:r>
        <w:rPr>
          <w:rFonts w:hint="eastAsia" w:ascii="仿宋_GB2312" w:hAnsi="黑体" w:eastAsia="仿宋_GB2312"/>
          <w:sz w:val="32"/>
          <w:szCs w:val="32"/>
          <w:u w:val="none"/>
          <w:lang w:eastAsia="zh-CN"/>
        </w:rPr>
        <w:t>预算拨款</w:t>
      </w:r>
      <w:r>
        <w:rPr>
          <w:rFonts w:hint="eastAsia" w:ascii="仿宋_GB2312" w:hAnsi="黑体" w:eastAsia="仿宋_GB2312"/>
          <w:sz w:val="32"/>
          <w:szCs w:val="32"/>
          <w:u w:val="none"/>
        </w:rPr>
        <w:t>收入</w:t>
      </w:r>
      <w:r>
        <w:rPr>
          <w:rFonts w:hint="eastAsia" w:ascii="仿宋_GB2312" w:hAnsi="黑体" w:eastAsia="仿宋_GB2312" w:cs="仿宋_GB2312"/>
          <w:sz w:val="32"/>
          <w:szCs w:val="32"/>
          <w:u w:val="none"/>
        </w:rPr>
        <w:t>40.80</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2.60</w:t>
      </w:r>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eastAsia="zh-CN"/>
        </w:rPr>
        <w:t>其他收入</w:t>
      </w:r>
      <w:r>
        <w:rPr>
          <w:rFonts w:hint="default" w:ascii="仿宋_GB2312" w:hAnsi="黑体" w:eastAsia="仿宋_GB2312" w:cs="仿宋_GB2312"/>
          <w:sz w:val="32"/>
          <w:szCs w:val="32"/>
          <w:highlight w:val="none"/>
          <w:u w:val="none"/>
          <w:lang w:val="en-US"/>
        </w:rPr>
        <w:t>80.20</w:t>
      </w:r>
      <w:r>
        <w:rPr>
          <w:rFonts w:hint="eastAsia" w:ascii="仿宋_GB2312" w:hAnsi="黑体" w:eastAsia="仿宋_GB2312"/>
          <w:sz w:val="32"/>
          <w:szCs w:val="32"/>
          <w:highlight w:val="none"/>
          <w:u w:val="none"/>
        </w:rPr>
        <w:t>万元，占</w:t>
      </w:r>
      <w:r>
        <w:rPr>
          <w:rFonts w:hint="eastAsia" w:ascii="仿宋_GB2312" w:hAnsi="黑体" w:eastAsia="仿宋_GB2312" w:cs="仿宋_GB2312"/>
          <w:sz w:val="32"/>
          <w:szCs w:val="32"/>
          <w:highlight w:val="none"/>
          <w:u w:val="none"/>
          <w:lang w:val="en-US" w:eastAsia="zh-CN"/>
        </w:rPr>
        <w:t>5.12</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371.76</w:t>
      </w:r>
      <w:r>
        <w:rPr>
          <w:rFonts w:hint="eastAsia" w:ascii="仿宋_GB2312" w:hAnsi="黑体" w:eastAsia="仿宋_GB2312"/>
          <w:sz w:val="32"/>
          <w:szCs w:val="32"/>
          <w:u w:val="none"/>
        </w:rPr>
        <w:t>万元，主要是上年结转</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政府性基金</w:t>
      </w:r>
      <w:r>
        <w:rPr>
          <w:rFonts w:hint="eastAsia" w:ascii="仿宋_GB2312" w:hAnsi="黑体" w:eastAsia="仿宋_GB2312"/>
          <w:sz w:val="32"/>
          <w:szCs w:val="32"/>
          <w:u w:val="none"/>
          <w:lang w:eastAsia="zh-CN"/>
        </w:rPr>
        <w:t>预算拨款</w:t>
      </w:r>
      <w:r>
        <w:rPr>
          <w:rFonts w:hint="eastAsia" w:ascii="仿宋_GB2312" w:hAnsi="黑体" w:eastAsia="仿宋_GB2312"/>
          <w:sz w:val="32"/>
          <w:szCs w:val="32"/>
          <w:u w:val="none"/>
        </w:rPr>
        <w:t>收</w:t>
      </w:r>
      <w:r>
        <w:rPr>
          <w:rFonts w:hint="eastAsia" w:ascii="仿宋_GB2312" w:hAnsi="黑体" w:eastAsia="仿宋_GB2312"/>
          <w:sz w:val="32"/>
          <w:szCs w:val="32"/>
          <w:u w:val="none"/>
          <w:lang w:eastAsia="zh-CN"/>
        </w:rPr>
        <w:t>减少</w:t>
      </w:r>
      <w:r>
        <w:rPr>
          <w:rFonts w:hint="eastAsia" w:ascii="仿宋_GB2312" w:hAnsi="黑体" w:eastAsia="仿宋_GB2312"/>
          <w:sz w:val="32"/>
          <w:szCs w:val="32"/>
          <w:u w:val="none"/>
        </w:rPr>
        <w:t>。</w:t>
      </w:r>
    </w:p>
    <w:p w14:paraId="6EABED66">
      <w:pPr>
        <w:numPr>
          <w:ilvl w:val="0"/>
          <w:numId w:val="2"/>
        </w:numPr>
        <w:spacing w:line="560" w:lineRule="exact"/>
        <w:ind w:firstLine="640" w:firstLineChars="200"/>
        <w:rPr>
          <w:rFonts w:hint="eastAsia"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支出预算情况说明</w:t>
      </w:r>
    </w:p>
    <w:p w14:paraId="26546C76">
      <w:pPr>
        <w:spacing w:line="560" w:lineRule="exact"/>
        <w:ind w:firstLine="640" w:firstLineChars="200"/>
        <w:rPr>
          <w:rFonts w:hint="eastAsia"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宣传部2026年支出预算1567.34万元，其中：基本支出241.34万元，占15.39%；项目支出1,325.99万元，占84.61%。比上年预算数减少371.76万元，主要是基本支出和项目支出减少。其中委托业务费预算总额118.35万元，比上年预算数减少10.73万元。</w:t>
      </w:r>
    </w:p>
    <w:p w14:paraId="651D368B">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14:paraId="310A251B">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r>
        <w:rPr>
          <w:rFonts w:hint="eastAsia" w:ascii="楷体" w:hAnsi="楷体" w:eastAsia="楷体"/>
          <w:sz w:val="32"/>
          <w:szCs w:val="32"/>
          <w:u w:val="none"/>
          <w:lang w:val="en-US" w:eastAsia="zh-CN"/>
        </w:rPr>
        <w:t>（</w:t>
      </w:r>
      <w:r>
        <w:rPr>
          <w:rFonts w:hint="eastAsia" w:ascii="楷体" w:hAnsi="楷体" w:eastAsia="楷体"/>
          <w:sz w:val="32"/>
          <w:szCs w:val="32"/>
          <w:u w:val="none"/>
        </w:rPr>
        <w:t>行政单位</w:t>
      </w:r>
      <w:r>
        <w:rPr>
          <w:rFonts w:hint="eastAsia" w:ascii="楷体" w:hAnsi="楷体" w:eastAsia="楷体"/>
          <w:sz w:val="32"/>
          <w:szCs w:val="32"/>
          <w:u w:val="none"/>
          <w:lang w:eastAsia="zh-CN"/>
        </w:rPr>
        <w:t>、</w:t>
      </w:r>
      <w:r>
        <w:rPr>
          <w:rFonts w:hint="eastAsia" w:ascii="楷体" w:hAnsi="楷体" w:eastAsia="楷体"/>
          <w:sz w:val="32"/>
          <w:szCs w:val="32"/>
          <w:u w:val="none"/>
        </w:rPr>
        <w:t>参照公务员法管理的事业单位</w:t>
      </w:r>
      <w:r>
        <w:rPr>
          <w:rFonts w:hint="eastAsia" w:ascii="楷体" w:hAnsi="楷体" w:eastAsia="楷体"/>
          <w:sz w:val="32"/>
          <w:szCs w:val="32"/>
          <w:u w:val="none"/>
          <w:lang w:eastAsia="zh-CN"/>
        </w:rPr>
        <w:t>需说明，其他单位不需要说明</w:t>
      </w:r>
      <w:r>
        <w:rPr>
          <w:rFonts w:hint="eastAsia" w:ascii="楷体" w:hAnsi="楷体" w:eastAsia="楷体"/>
          <w:sz w:val="32"/>
          <w:szCs w:val="32"/>
          <w:u w:val="none"/>
          <w:lang w:val="en-US" w:eastAsia="zh-CN"/>
        </w:rPr>
        <w:t>）</w:t>
      </w:r>
    </w:p>
    <w:p w14:paraId="096263CA">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宣传部</w:t>
      </w:r>
      <w:r>
        <w:rPr>
          <w:rFonts w:hint="eastAsia" w:ascii="仿宋_GB2312" w:hAnsi="黑体" w:eastAsia="仿宋_GB2312" w:cs="仿宋_GB2312"/>
          <w:sz w:val="32"/>
          <w:szCs w:val="32"/>
          <w:u w:val="none"/>
        </w:rPr>
        <w:t>的机关运行经费预算34.19</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，比</w:t>
      </w:r>
      <w:r>
        <w:rPr>
          <w:rFonts w:hint="eastAsia" w:ascii="仿宋_GB2312" w:hAnsi="黑体" w:eastAsia="仿宋_GB2312"/>
          <w:sz w:val="32"/>
          <w:szCs w:val="32"/>
          <w:u w:val="none"/>
        </w:rPr>
        <w:t>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4.01</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办公费、印刷费、邮电费、差旅费、维修（护）费、培训费、其他商品和服务支出、</w:t>
      </w:r>
      <w:r>
        <w:rPr>
          <w:rFonts w:hint="eastAsia" w:ascii="仿宋_GB2312" w:hAnsi="黑体" w:eastAsia="仿宋_GB2312"/>
          <w:sz w:val="32"/>
          <w:szCs w:val="32"/>
          <w:u w:val="none"/>
        </w:rPr>
        <w:t>办公设备购置</w:t>
      </w:r>
      <w:r>
        <w:rPr>
          <w:rFonts w:hint="eastAsia" w:ascii="仿宋_GB2312" w:hAnsi="黑体" w:eastAsia="仿宋_GB2312"/>
          <w:sz w:val="32"/>
          <w:szCs w:val="32"/>
          <w:u w:val="none"/>
          <w:lang w:eastAsia="zh-CN"/>
        </w:rPr>
        <w:t>减少</w:t>
      </w:r>
      <w:r>
        <w:rPr>
          <w:rFonts w:hint="eastAsia" w:ascii="仿宋_GB2312" w:hAnsi="黑体" w:eastAsia="仿宋_GB2312"/>
          <w:sz w:val="32"/>
          <w:szCs w:val="32"/>
          <w:u w:val="none"/>
        </w:rPr>
        <w:t>。</w:t>
      </w:r>
    </w:p>
    <w:p w14:paraId="452D1063">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14:paraId="41527D90">
      <w:pPr>
        <w:spacing w:line="560" w:lineRule="exact"/>
        <w:ind w:firstLine="64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宣传部</w:t>
      </w:r>
      <w:r>
        <w:rPr>
          <w:rFonts w:hint="eastAsia" w:ascii="仿宋_GB2312" w:hAnsi="黑体" w:eastAsia="仿宋_GB2312" w:cs="仿宋_GB2312"/>
          <w:sz w:val="32"/>
          <w:szCs w:val="32"/>
          <w:u w:val="none"/>
        </w:rPr>
        <w:t>政府采购预算总额</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万元，其中：政府采购货物预算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万元，政府采购工程预算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万元，政府采购服务预算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14:paraId="2B635960">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14:paraId="7F592272">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仿宋_GB2312" w:hAnsi="黑体" w:eastAsia="仿宋_GB2312"/>
          <w:sz w:val="32"/>
          <w:szCs w:val="32"/>
          <w:u w:val="none"/>
          <w:lang w:val="en-US" w:eastAsia="zh-CN"/>
        </w:rPr>
        <w:t>宣传部</w:t>
      </w:r>
      <w:r>
        <w:rPr>
          <w:rFonts w:hint="eastAsia" w:ascii="仿宋_GB2312" w:hAnsi="黑体" w:eastAsia="仿宋_GB2312" w:cs="仿宋_GB2312"/>
          <w:sz w:val="32"/>
          <w:szCs w:val="32"/>
          <w:u w:val="none"/>
        </w:rPr>
        <w:t>本级及下属各预算单位共有车辆</w:t>
      </w:r>
      <w:r>
        <w:rPr>
          <w:rFonts w:hint="eastAsia" w:ascii="仿宋_GB2312" w:hAnsi="黑体" w:eastAsia="仿宋_GB2312" w:cs="仿宋_GB2312"/>
          <w:sz w:val="32"/>
          <w:szCs w:val="32"/>
          <w:u w:val="none"/>
          <w:lang w:val="en-US" w:eastAsia="zh-CN"/>
        </w:rPr>
        <w:t>3</w:t>
      </w:r>
      <w:r>
        <w:rPr>
          <w:rFonts w:hint="eastAsia" w:ascii="仿宋_GB2312" w:hAnsi="黑体" w:eastAsia="仿宋_GB2312" w:cs="仿宋_GB2312"/>
          <w:sz w:val="32"/>
          <w:szCs w:val="32"/>
          <w:u w:val="none"/>
        </w:rPr>
        <w:t>辆，其中，领导干部用车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辆，机要通信应急用车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辆、一般执法执勤用车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辆、特种专业技术用车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辆、其他用车</w:t>
      </w:r>
      <w:r>
        <w:rPr>
          <w:rFonts w:hint="eastAsia" w:ascii="仿宋_GB2312" w:hAnsi="黑体" w:eastAsia="仿宋_GB2312" w:cs="仿宋_GB2312"/>
          <w:sz w:val="32"/>
          <w:szCs w:val="32"/>
          <w:u w:val="none"/>
          <w:lang w:val="en-US" w:eastAsia="zh-CN"/>
        </w:rPr>
        <w:t>3</w:t>
      </w:r>
      <w:r>
        <w:rPr>
          <w:rFonts w:hint="eastAsia" w:ascii="仿宋_GB2312" w:hAnsi="黑体" w:eastAsia="仿宋_GB2312" w:cs="仿宋_GB2312"/>
          <w:sz w:val="32"/>
          <w:szCs w:val="32"/>
          <w:u w:val="none"/>
        </w:rPr>
        <w:t>辆。单位价值100万元以上设备</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台（套）。</w:t>
      </w:r>
    </w:p>
    <w:p w14:paraId="2DDE7784">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14:paraId="37CA9A62">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宣传部</w:t>
      </w:r>
      <w:r>
        <w:rPr>
          <w:rFonts w:hint="eastAsia" w:ascii="仿宋_GB2312" w:hAnsi="黑体" w:eastAsia="仿宋_GB2312"/>
          <w:sz w:val="32"/>
          <w:szCs w:val="32"/>
          <w:u w:val="none"/>
          <w:lang w:val="en-US" w:eastAsia="zh-CN"/>
        </w:rPr>
        <w:t>39</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1526.54</w:t>
      </w:r>
      <w:r>
        <w:rPr>
          <w:rFonts w:hint="eastAsia" w:ascii="仿宋_GB2312" w:hAnsi="黑体" w:eastAsia="仿宋_GB2312"/>
          <w:sz w:val="32"/>
          <w:szCs w:val="32"/>
          <w:u w:val="none"/>
        </w:rPr>
        <w:t>万元、政府性基金</w:t>
      </w:r>
      <w:r>
        <w:rPr>
          <w:rFonts w:hint="eastAsia" w:ascii="仿宋_GB2312" w:hAnsi="黑体" w:eastAsia="仿宋_GB2312" w:cs="仿宋_GB2312"/>
          <w:sz w:val="32"/>
          <w:szCs w:val="32"/>
          <w:u w:val="none"/>
          <w:lang w:val="en-US" w:eastAsia="zh-CN"/>
        </w:rPr>
        <w:t>40.80</w:t>
      </w:r>
      <w:r>
        <w:rPr>
          <w:rFonts w:hint="eastAsia" w:ascii="仿宋_GB2312" w:hAnsi="黑体" w:eastAsia="仿宋_GB2312"/>
          <w:sz w:val="32"/>
          <w:szCs w:val="32"/>
          <w:u w:val="none"/>
        </w:rPr>
        <w:t>万元。</w:t>
      </w:r>
    </w:p>
    <w:p w14:paraId="476075AE">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14:paraId="11A51FA8">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本单位重点项目</w:t>
      </w:r>
      <w:r>
        <w:rPr>
          <w:rFonts w:hint="eastAsia" w:ascii="仿宋" w:hAnsi="仿宋" w:eastAsia="仿宋" w:cs="仿宋"/>
          <w:sz w:val="32"/>
          <w:szCs w:val="32"/>
          <w:lang w:val="en-US" w:eastAsia="zh-CN"/>
        </w:rPr>
        <w:t>0</w:t>
      </w:r>
      <w:r>
        <w:rPr>
          <w:rFonts w:hint="eastAsia" w:ascii="仿宋_GB2312" w:hAnsi="黑体" w:eastAsia="仿宋_GB2312" w:cs="仿宋_GB2312"/>
          <w:sz w:val="32"/>
          <w:szCs w:val="32"/>
          <w:lang w:val="en-US" w:eastAsia="zh-CN"/>
        </w:rPr>
        <w:t>个，均实行绩效目标管理，涉及</w:t>
      </w:r>
      <w:r>
        <w:rPr>
          <w:rFonts w:hint="eastAsia" w:ascii="仿宋_GB2312" w:hAnsi="黑体" w:eastAsia="仿宋_GB2312" w:cs="仿宋_GB2312"/>
          <w:sz w:val="32"/>
          <w:szCs w:val="32"/>
        </w:rPr>
        <w:t>一般公共预算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w:t>
      </w:r>
      <w:r>
        <w:rPr>
          <w:rFonts w:hint="eastAsia" w:ascii="仿宋" w:hAnsi="仿宋" w:eastAsia="仿宋" w:cs="仿宋"/>
          <w:sz w:val="32"/>
          <w:szCs w:val="32"/>
          <w:lang w:val="en-US" w:eastAsia="zh-CN"/>
        </w:rPr>
        <w:t>0</w:t>
      </w:r>
      <w:r>
        <w:rPr>
          <w:rFonts w:hint="eastAsia" w:ascii="仿宋_GB2312" w:hAnsi="黑体" w:eastAsia="仿宋_GB2312"/>
          <w:sz w:val="32"/>
          <w:szCs w:val="32"/>
        </w:rPr>
        <w:t>万元。</w:t>
      </w:r>
    </w:p>
    <w:p w14:paraId="316021BE">
      <w:pPr>
        <w:pStyle w:val="2"/>
        <w:rPr>
          <w:rFonts w:hint="eastAsia"/>
          <w:lang w:eastAsia="zh-CN"/>
        </w:rPr>
      </w:pPr>
    </w:p>
    <w:p w14:paraId="47F5B314">
      <w:pPr>
        <w:spacing w:line="560" w:lineRule="exact"/>
        <w:jc w:val="center"/>
        <w:rPr>
          <w:rFonts w:hint="eastAsia" w:ascii="黑体" w:hAnsi="黑体" w:eastAsia="黑体"/>
          <w:b w:val="0"/>
          <w:bCs/>
          <w:sz w:val="32"/>
          <w:szCs w:val="32"/>
          <w:u w:val="none"/>
          <w:lang w:eastAsia="zh-CN"/>
        </w:rPr>
      </w:pPr>
    </w:p>
    <w:p w14:paraId="3B893708">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14:paraId="305E52A3">
      <w:pPr>
        <w:spacing w:line="560" w:lineRule="exact"/>
        <w:ind w:firstLine="640" w:firstLineChars="200"/>
        <w:jc w:val="left"/>
        <w:rPr>
          <w:rFonts w:ascii="仿宋_GB2312" w:eastAsia="仿宋_GB2312" w:cs="宋体"/>
          <w:bCs/>
          <w:color w:val="000000"/>
          <w:kern w:val="0"/>
          <w:sz w:val="32"/>
          <w:szCs w:val="32"/>
          <w:u w:val="none"/>
          <w:lang w:val="zh-CN"/>
        </w:rPr>
      </w:pPr>
    </w:p>
    <w:p w14:paraId="58DE720F">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14:paraId="29478D5A">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14:paraId="08DC34E9">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14:paraId="6816A89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14:paraId="5FD3B54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14:paraId="0AD83907">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14:paraId="32EA16ED">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14:paraId="583D4AB8">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14:paraId="035703BD">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14:paraId="70B9D0A3">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14:paraId="3A782CC5">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05E8F336">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14:paraId="4A9C7DF5">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14:paraId="2C022858">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1288661F">
      <w:pPr>
        <w:spacing w:line="560" w:lineRule="exact"/>
        <w:ind w:firstLine="0" w:firstLineChars="0"/>
        <w:jc w:val="left"/>
        <w:rPr>
          <w:rFonts w:ascii="仿宋_GB2312" w:hAnsi="黑体" w:eastAsia="仿宋_GB2312" w:cs="仿宋_GB2312"/>
          <w:sz w:val="32"/>
          <w:szCs w:val="32"/>
          <w:u w:val="none"/>
        </w:rPr>
      </w:pPr>
    </w:p>
    <w:sectPr>
      <w:footerReference r:id="rId4" w:type="default"/>
      <w:pgSz w:w="11906" w:h="16838"/>
      <w:pgMar w:top="2098" w:right="1474" w:bottom="1984" w:left="158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33216">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0DF8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C47E2F">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C47E2F">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054A83"/>
    <w:multiLevelType w:val="singleLevel"/>
    <w:tmpl w:val="BF054A83"/>
    <w:lvl w:ilvl="0" w:tentative="0">
      <w:start w:val="9"/>
      <w:numFmt w:val="chineseCounting"/>
      <w:suff w:val="nothing"/>
      <w:lvlText w:val="%1、"/>
      <w:lvlJc w:val="left"/>
      <w:rPr>
        <w:rFonts w:hint="eastAsia"/>
      </w:rPr>
    </w:lvl>
  </w:abstractNum>
  <w:abstractNum w:abstractNumId="1">
    <w:nsid w:val="DBDEEC51"/>
    <w:multiLevelType w:val="singleLevel"/>
    <w:tmpl w:val="DBDEEC51"/>
    <w:lvl w:ilvl="0" w:tentative="0">
      <w:start w:val="6"/>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96CF7"/>
    <w:rsid w:val="018B7569"/>
    <w:rsid w:val="021464D7"/>
    <w:rsid w:val="02D14E2E"/>
    <w:rsid w:val="08151708"/>
    <w:rsid w:val="0AF211DE"/>
    <w:rsid w:val="0C370588"/>
    <w:rsid w:val="0DF82FED"/>
    <w:rsid w:val="0E2B0F39"/>
    <w:rsid w:val="0F2F4E9E"/>
    <w:rsid w:val="0F94125C"/>
    <w:rsid w:val="107407C4"/>
    <w:rsid w:val="10F05CD6"/>
    <w:rsid w:val="1226584F"/>
    <w:rsid w:val="12A0487D"/>
    <w:rsid w:val="14673113"/>
    <w:rsid w:val="16AA4369"/>
    <w:rsid w:val="1743643C"/>
    <w:rsid w:val="1826037F"/>
    <w:rsid w:val="1A4A2B5B"/>
    <w:rsid w:val="1DB23FF4"/>
    <w:rsid w:val="1E4F2D13"/>
    <w:rsid w:val="1FD932B0"/>
    <w:rsid w:val="21C55891"/>
    <w:rsid w:val="23BB3A22"/>
    <w:rsid w:val="24E4707F"/>
    <w:rsid w:val="252736C2"/>
    <w:rsid w:val="26607E1C"/>
    <w:rsid w:val="27C00F92"/>
    <w:rsid w:val="27F9D6AD"/>
    <w:rsid w:val="28A06BB0"/>
    <w:rsid w:val="28B07A86"/>
    <w:rsid w:val="29C20E8E"/>
    <w:rsid w:val="2B650886"/>
    <w:rsid w:val="2CBB5065"/>
    <w:rsid w:val="2CFFD3C3"/>
    <w:rsid w:val="2D2A3AF8"/>
    <w:rsid w:val="2D8F2921"/>
    <w:rsid w:val="2ED54739"/>
    <w:rsid w:val="2F207FA6"/>
    <w:rsid w:val="2FBF19B9"/>
    <w:rsid w:val="308B3D42"/>
    <w:rsid w:val="30EF15AC"/>
    <w:rsid w:val="31923AE8"/>
    <w:rsid w:val="33261418"/>
    <w:rsid w:val="349263BB"/>
    <w:rsid w:val="357A5D44"/>
    <w:rsid w:val="37983AB6"/>
    <w:rsid w:val="37DF1B78"/>
    <w:rsid w:val="38204867"/>
    <w:rsid w:val="3B817900"/>
    <w:rsid w:val="3B902A27"/>
    <w:rsid w:val="3BAC77CF"/>
    <w:rsid w:val="3DE53401"/>
    <w:rsid w:val="3E5E5EAB"/>
    <w:rsid w:val="3E703352"/>
    <w:rsid w:val="41C32B8B"/>
    <w:rsid w:val="41E84641"/>
    <w:rsid w:val="445B2389"/>
    <w:rsid w:val="45945913"/>
    <w:rsid w:val="467A77D6"/>
    <w:rsid w:val="48493725"/>
    <w:rsid w:val="48DA7686"/>
    <w:rsid w:val="495162DD"/>
    <w:rsid w:val="497865AF"/>
    <w:rsid w:val="4A3862F9"/>
    <w:rsid w:val="4D9B6047"/>
    <w:rsid w:val="4FFC482E"/>
    <w:rsid w:val="517F6167"/>
    <w:rsid w:val="51EB539F"/>
    <w:rsid w:val="52B06C18"/>
    <w:rsid w:val="54C21C72"/>
    <w:rsid w:val="55D84F8E"/>
    <w:rsid w:val="56AB5D91"/>
    <w:rsid w:val="5A6F21E4"/>
    <w:rsid w:val="5ACA46FB"/>
    <w:rsid w:val="5AD92D04"/>
    <w:rsid w:val="5CCF4DA1"/>
    <w:rsid w:val="5CD71462"/>
    <w:rsid w:val="5E0F72F4"/>
    <w:rsid w:val="5EFF8EDA"/>
    <w:rsid w:val="5F532A5F"/>
    <w:rsid w:val="5FBFEA10"/>
    <w:rsid w:val="605B14CE"/>
    <w:rsid w:val="632B0E2E"/>
    <w:rsid w:val="659E541E"/>
    <w:rsid w:val="65A171DA"/>
    <w:rsid w:val="67073408"/>
    <w:rsid w:val="67C77F79"/>
    <w:rsid w:val="681C288F"/>
    <w:rsid w:val="683133B2"/>
    <w:rsid w:val="686C65BC"/>
    <w:rsid w:val="6D5970CB"/>
    <w:rsid w:val="6ED158E9"/>
    <w:rsid w:val="6EF35C5E"/>
    <w:rsid w:val="6F772982"/>
    <w:rsid w:val="6F7F7F61"/>
    <w:rsid w:val="6FDB1131"/>
    <w:rsid w:val="6FDF3A11"/>
    <w:rsid w:val="71AC7954"/>
    <w:rsid w:val="72BFF0B5"/>
    <w:rsid w:val="72C87DF0"/>
    <w:rsid w:val="739D068F"/>
    <w:rsid w:val="73CF45A9"/>
    <w:rsid w:val="75650B70"/>
    <w:rsid w:val="757A4C17"/>
    <w:rsid w:val="77493A21"/>
    <w:rsid w:val="78453A64"/>
    <w:rsid w:val="787C7122"/>
    <w:rsid w:val="7AE27A54"/>
    <w:rsid w:val="7BF736D2"/>
    <w:rsid w:val="7C7F076C"/>
    <w:rsid w:val="7CBC45A2"/>
    <w:rsid w:val="7D4D404A"/>
    <w:rsid w:val="7E2FDAC6"/>
    <w:rsid w:val="7EFDD520"/>
    <w:rsid w:val="7F81514E"/>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0"/>
    <w:semiHidden/>
    <w:unhideWhenUsed/>
    <w:qFormat/>
    <w:uiPriority w:val="99"/>
    <w:pPr>
      <w:tabs>
        <w:tab w:val="center" w:pos="4153"/>
        <w:tab w:val="right" w:pos="8306"/>
      </w:tabs>
      <w:snapToGrid w:val="0"/>
      <w:jc w:val="left"/>
    </w:pPr>
    <w:rPr>
      <w:sz w:val="18"/>
      <w:szCs w:val="18"/>
    </w:rPr>
  </w:style>
  <w:style w:type="paragraph" w:styleId="3">
    <w:name w:val="index 5"/>
    <w:basedOn w:val="1"/>
    <w:next w:val="1"/>
    <w:qFormat/>
    <w:uiPriority w:val="0"/>
    <w:pPr>
      <w:ind w:left="1680"/>
    </w:p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4929</Words>
  <Characters>5417</Characters>
  <Lines>1</Lines>
  <Paragraphs>1</Paragraphs>
  <TotalTime>7</TotalTime>
  <ScaleCrop>false</ScaleCrop>
  <LinksUpToDate>false</LinksUpToDate>
  <CharactersWithSpaces>5434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2017-02-13T23:31:00Z</dcterms:created>
  <dc:creator>null,null,总收发</dc:creator>
  <cp:lastModifiedBy>每天按时下班</cp:lastModifiedBy>
  <cp:lastPrinted>2025-01-20T00:28:00Z</cp:lastPrinted>
  <dcterms:modified xsi:type="dcterms:W3CDTF">2026-03-13T01:54:05Z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A452AEA80B3487E3850D8E679530286D</vt:lpwstr>
  </property>
  <property fmtid="{D5CDD505-2E9C-101B-9397-08002B2CF9AE}" pid="4" name="KSOTemplateDocerSaveRecord">
    <vt:lpwstr>eyJoZGlkIjoiZDkwNDFhZGU1NWJiMjA2OGI3MjM5MTlmNTAzYjM3YWQiLCJ1c2VySWQiOiIxMjg1NDQxNzY3In0=</vt:lpwstr>
  </property>
</Properties>
</file>