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保亭黎族苗族自治县财政局加茂财政所本级</w:t>
      </w:r>
      <w:r>
        <w:rPr>
          <w:rFonts w:hint="default" w:asciiTheme="majorEastAsia" w:hAnsiTheme="majorEastAsia" w:eastAsiaTheme="majorEastAsia" w:cstheme="majorEastAsia"/>
          <w:b/>
          <w:bCs/>
          <w:sz w:val="44"/>
          <w:szCs w:val="44"/>
          <w:lang w:val="en-US"/>
        </w:rPr>
        <w:t>2</w:t>
      </w:r>
      <w:bookmarkStart w:id="121" w:name="_GoBack"/>
      <w:bookmarkEnd w:id="121"/>
      <w:r>
        <w:rPr>
          <w:rFonts w:hint="default" w:asciiTheme="majorEastAsia" w:hAnsiTheme="majorEastAsia" w:eastAsiaTheme="majorEastAsia" w:cstheme="majorEastAsia"/>
          <w:b/>
          <w:bCs/>
          <w:sz w:val="44"/>
          <w:szCs w:val="44"/>
          <w:lang w:val="en-US"/>
        </w:rPr>
        <w:t>025</w:t>
      </w:r>
      <w:r>
        <w:rPr>
          <w:rFonts w:hint="eastAsia" w:asciiTheme="majorEastAsia" w:hAnsiTheme="majorEastAsia" w:eastAsiaTheme="majorEastAsia" w:cstheme="majorEastAsia"/>
          <w:b/>
          <w:bCs/>
          <w:sz w:val="44"/>
          <w:szCs w:val="44"/>
        </w:rPr>
        <w:t>年度部门决算公开报告</w:t>
      </w:r>
    </w:p>
    <w:p>
      <w:pPr>
        <w:spacing w:line="578" w:lineRule="exact"/>
        <w:jc w:val="center"/>
        <w:rPr>
          <w:rFonts w:hint="eastAsia" w:ascii="黑体" w:hAnsi="ˎ̥" w:eastAsia="黑体"/>
          <w:b/>
          <w:sz w:val="32"/>
          <w:szCs w:val="32"/>
        </w:rPr>
      </w:pPr>
    </w:p>
    <w:p>
      <w:pPr>
        <w:spacing w:line="578" w:lineRule="exact"/>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  录</w:t>
      </w:r>
    </w:p>
    <w:p>
      <w:pPr>
        <w:pStyle w:val="18"/>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_Toc1704_WPSOffice_Level1 </w:instrText>
      </w:r>
      <w:r>
        <w:rPr>
          <w:sz w:val="32"/>
          <w:szCs w:val="32"/>
        </w:rPr>
        <w:fldChar w:fldCharType="separate"/>
      </w:r>
      <w:r>
        <w:rPr>
          <w:rFonts w:hint="eastAsia" w:ascii="黑体" w:hAnsi="ˎ̥" w:eastAsia="黑体"/>
          <w:sz w:val="32"/>
          <w:szCs w:val="32"/>
        </w:rPr>
        <w:t>第一部分 基本情况</w:t>
      </w:r>
      <w:r>
        <w:rPr>
          <w:sz w:val="32"/>
          <w:szCs w:val="32"/>
        </w:rPr>
        <w:tab/>
      </w:r>
      <w:r>
        <w:rPr>
          <w:sz w:val="32"/>
          <w:szCs w:val="32"/>
        </w:rPr>
        <w:fldChar w:fldCharType="end"/>
      </w:r>
      <w:r>
        <w:rPr>
          <w:rFonts w:hint="eastAsia"/>
          <w:sz w:val="32"/>
          <w:szCs w:val="32"/>
        </w:rPr>
        <w:t>2</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一、部门（单位）职责</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pPr>
        <w:pStyle w:val="18"/>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_Toc28253_WPSOffice_Level1 </w:instrText>
      </w:r>
      <w:r>
        <w:rPr>
          <w:sz w:val="32"/>
          <w:szCs w:val="32"/>
        </w:rPr>
        <w:fldChar w:fldCharType="separate"/>
      </w:r>
      <w:r>
        <w:rPr>
          <w:rFonts w:hint="eastAsia" w:ascii="黑体" w:hAnsi="ˎ̥" w:eastAsia="黑体"/>
          <w:sz w:val="32"/>
          <w:szCs w:val="32"/>
        </w:rPr>
        <w:t xml:space="preserve">第二部分  </w:t>
      </w:r>
      <w:r>
        <w:rPr>
          <w:rFonts w:hint="default" w:ascii="黑体" w:hAnsi="ˎ̥" w:eastAsia="黑体"/>
          <w:sz w:val="32"/>
          <w:szCs w:val="32"/>
          <w:lang w:val="en-US"/>
        </w:rPr>
        <w:t>2025</w:t>
      </w:r>
      <w:r>
        <w:rPr>
          <w:rFonts w:hint="eastAsia" w:ascii="黑体" w:hAnsi="ˎ̥" w:eastAsia="黑体"/>
          <w:sz w:val="32"/>
          <w:szCs w:val="32"/>
        </w:rPr>
        <w:t>年度部门决算公开表</w:t>
      </w:r>
      <w:r>
        <w:rPr>
          <w:sz w:val="32"/>
          <w:szCs w:val="32"/>
        </w:rPr>
        <w:tab/>
      </w:r>
      <w:r>
        <w:rPr>
          <w:sz w:val="32"/>
          <w:szCs w:val="32"/>
        </w:rPr>
        <w:fldChar w:fldCharType="end"/>
      </w:r>
      <w:r>
        <w:rPr>
          <w:rFonts w:hint="eastAsia"/>
          <w:sz w:val="32"/>
          <w:szCs w:val="32"/>
          <w:lang w:val="en-US" w:eastAsia="zh-CN"/>
        </w:rPr>
        <w:t>3</w:t>
      </w:r>
    </w:p>
    <w:p>
      <w:pPr>
        <w:pStyle w:val="18"/>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_Toc27590_WPSOffice_Level1 </w:instrText>
      </w:r>
      <w:r>
        <w:rPr>
          <w:sz w:val="32"/>
          <w:szCs w:val="32"/>
        </w:rPr>
        <w:fldChar w:fldCharType="separate"/>
      </w:r>
      <w:r>
        <w:rPr>
          <w:rFonts w:hint="eastAsia" w:ascii="黑体" w:hAnsi="黑体" w:eastAsia="黑体" w:cs="黑体"/>
          <w:sz w:val="32"/>
          <w:szCs w:val="32"/>
        </w:rPr>
        <w:t>第三部分</w:t>
      </w:r>
      <w:r>
        <w:rPr>
          <w:rFonts w:hint="eastAsia"/>
          <w:sz w:val="32"/>
          <w:szCs w:val="32"/>
        </w:rPr>
        <w:t xml:space="preserve">  </w:t>
      </w:r>
      <w:r>
        <w:rPr>
          <w:rFonts w:hint="default" w:ascii="黑体" w:hAnsi="ˎ̥" w:eastAsia="黑体"/>
          <w:sz w:val="32"/>
          <w:szCs w:val="32"/>
          <w:lang w:val="en-US"/>
        </w:rPr>
        <w:t>2025</w:t>
      </w:r>
      <w:r>
        <w:rPr>
          <w:rFonts w:hint="eastAsia" w:ascii="黑体" w:hAnsi="ˎ̥" w:eastAsia="黑体"/>
          <w:sz w:val="32"/>
          <w:szCs w:val="32"/>
        </w:rPr>
        <w:t>年度部门决算情况说明</w:t>
      </w:r>
      <w:r>
        <w:rPr>
          <w:sz w:val="32"/>
          <w:szCs w:val="32"/>
        </w:rPr>
        <w:tab/>
      </w:r>
      <w:r>
        <w:rPr>
          <w:sz w:val="32"/>
          <w:szCs w:val="32"/>
        </w:rPr>
        <w:fldChar w:fldCharType="end"/>
      </w:r>
      <w:r>
        <w:rPr>
          <w:rFonts w:hint="eastAsia"/>
          <w:sz w:val="32"/>
          <w:szCs w:val="32"/>
        </w:rPr>
        <w:t>3</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一、收入支出总体情况说明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3</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四、财政拨款收入支出决算</w:t>
      </w:r>
      <w:r>
        <w:rPr>
          <w:rFonts w:hint="eastAsia" w:ascii="仿宋" w:hAnsi="仿宋" w:eastAsia="仿宋" w:cs="仿宋"/>
          <w:bCs/>
          <w:sz w:val="32"/>
          <w:szCs w:val="32"/>
          <w:lang w:val="en-US" w:eastAsia="zh-CN"/>
        </w:rPr>
        <w:t>总体</w:t>
      </w:r>
      <w:r>
        <w:rPr>
          <w:rFonts w:hint="eastAsia" w:ascii="仿宋" w:hAnsi="仿宋" w:eastAsia="仿宋" w:cs="仿宋"/>
          <w:bCs/>
          <w:sz w:val="32"/>
          <w:szCs w:val="32"/>
        </w:rPr>
        <w:t>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5</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5</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lang w:val="en-US" w:eastAsia="zh-CN"/>
        </w:rPr>
        <w:t>7</w:t>
      </w:r>
    </w:p>
    <w:p>
      <w:pPr>
        <w:pStyle w:val="19"/>
        <w:numPr>
          <w:ilvl w:val="0"/>
          <w:numId w:val="0"/>
        </w:numPr>
        <w:tabs>
          <w:tab w:val="right" w:leader="dot" w:pos="8306"/>
        </w:tabs>
        <w:spacing w:line="578" w:lineRule="exact"/>
        <w:rPr>
          <w:rFonts w:hint="eastAsia" w:ascii="仿宋" w:hAnsi="仿宋" w:eastAsia="仿宋" w:cs="仿宋"/>
          <w:sz w:val="32"/>
          <w:szCs w:val="32"/>
        </w:rPr>
      </w:pPr>
      <w:r>
        <w:rPr>
          <w:rFonts w:hint="eastAsia" w:ascii="仿宋" w:hAnsi="仿宋" w:eastAsia="仿宋" w:cs="仿宋"/>
          <w:bCs/>
          <w:sz w:val="32"/>
          <w:szCs w:val="32"/>
          <w:lang w:val="en-US" w:eastAsia="zh-CN"/>
        </w:rPr>
        <w:t>七、</w:t>
      </w:r>
      <w:r>
        <w:rPr>
          <w:rFonts w:hint="eastAsia" w:ascii="仿宋" w:hAnsi="仿宋" w:eastAsia="仿宋" w:cs="仿宋"/>
          <w:bCs/>
          <w:sz w:val="32"/>
          <w:szCs w:val="32"/>
        </w:rPr>
        <w:t>政府性基金预算财政拨款支出决算情况说明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7</w:t>
      </w:r>
    </w:p>
    <w:p>
      <w:pPr>
        <w:pStyle w:val="19"/>
        <w:numPr>
          <w:ilvl w:val="0"/>
          <w:numId w:val="0"/>
        </w:numPr>
        <w:tabs>
          <w:tab w:val="right" w:leader="dot" w:pos="8306"/>
        </w:tabs>
        <w:spacing w:line="578" w:lineRule="exact"/>
        <w:rPr>
          <w:rFonts w:hint="eastAsia" w:ascii="仿宋" w:hAnsi="仿宋" w:eastAsia="仿宋" w:cs="仿宋"/>
          <w:sz w:val="32"/>
          <w:szCs w:val="32"/>
        </w:rPr>
      </w:pPr>
      <w:r>
        <w:rPr>
          <w:rFonts w:hint="eastAsia" w:ascii="仿宋" w:hAnsi="仿宋" w:eastAsia="仿宋" w:cs="仿宋"/>
          <w:bCs/>
          <w:sz w:val="32"/>
          <w:szCs w:val="32"/>
          <w:lang w:val="en-US" w:eastAsia="zh-CN"/>
        </w:rPr>
        <w:t>八、</w:t>
      </w:r>
      <w:r>
        <w:rPr>
          <w:rFonts w:hint="eastAsia" w:ascii="仿宋" w:hAnsi="仿宋" w:eastAsia="仿宋" w:cs="仿宋"/>
          <w:bCs/>
          <w:sz w:val="32"/>
          <w:szCs w:val="32"/>
        </w:rPr>
        <w:t>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8</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九、财政拨款“三公”经费支出决算情况说明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8</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1</w:t>
      </w:r>
      <w:r>
        <w:rPr>
          <w:rFonts w:hint="eastAsia" w:ascii="仿宋" w:hAnsi="仿宋" w:eastAsia="仿宋" w:cs="仿宋"/>
          <w:sz w:val="32"/>
          <w:szCs w:val="32"/>
          <w:lang w:val="en-US" w:eastAsia="zh-CN"/>
        </w:rPr>
        <w:t>0</w:t>
      </w:r>
    </w:p>
    <w:p>
      <w:pPr>
        <w:pStyle w:val="19"/>
        <w:numPr>
          <w:ilvl w:val="0"/>
          <w:numId w:val="0"/>
        </w:numPr>
        <w:tabs>
          <w:tab w:val="right" w:leader="dot" w:pos="8306"/>
        </w:tabs>
        <w:spacing w:line="578" w:lineRule="exact"/>
        <w:rPr>
          <w:rFonts w:hint="eastAsia" w:ascii="仿宋" w:hAnsi="仿宋" w:eastAsia="仿宋" w:cs="仿宋"/>
          <w:sz w:val="32"/>
          <w:szCs w:val="32"/>
        </w:rPr>
      </w:pPr>
      <w:r>
        <w:rPr>
          <w:rFonts w:hint="eastAsia" w:ascii="仿宋" w:hAnsi="仿宋" w:eastAsia="仿宋" w:cs="仿宋"/>
          <w:bCs/>
          <w:sz w:val="32"/>
          <w:szCs w:val="32"/>
          <w:lang w:val="en-US" w:eastAsia="zh-CN"/>
        </w:rPr>
        <w:t>十一、</w:t>
      </w:r>
      <w:r>
        <w:rPr>
          <w:rFonts w:hint="eastAsia" w:ascii="仿宋" w:hAnsi="仿宋" w:eastAsia="仿宋" w:cs="仿宋"/>
          <w:bCs/>
          <w:sz w:val="32"/>
          <w:szCs w:val="32"/>
        </w:rPr>
        <w:t>落实习惯过紧日子要求、保障重点支出情况说明</w:t>
      </w:r>
      <w:r>
        <w:rPr>
          <w:rFonts w:hint="eastAsia" w:ascii="仿宋" w:hAnsi="仿宋" w:eastAsia="仿宋" w:cs="仿宋"/>
          <w:sz w:val="32"/>
          <w:szCs w:val="32"/>
        </w:rPr>
        <w:tab/>
      </w:r>
      <w:r>
        <w:rPr>
          <w:rFonts w:hint="eastAsia" w:ascii="仿宋" w:hAnsi="仿宋" w:eastAsia="仿宋" w:cs="仿宋"/>
          <w:sz w:val="32"/>
          <w:szCs w:val="32"/>
        </w:rPr>
        <w:t>1</w:t>
      </w:r>
      <w:r>
        <w:rPr>
          <w:rFonts w:hint="eastAsia" w:ascii="仿宋" w:hAnsi="仿宋" w:eastAsia="仿宋" w:cs="仿宋"/>
          <w:sz w:val="32"/>
          <w:szCs w:val="32"/>
          <w:lang w:val="en-US" w:eastAsia="zh-CN"/>
        </w:rPr>
        <w:t>1</w:t>
      </w:r>
    </w:p>
    <w:p>
      <w:pPr>
        <w:pStyle w:val="19"/>
        <w:tabs>
          <w:tab w:val="right" w:leader="dot" w:pos="8306"/>
        </w:tabs>
        <w:spacing w:line="578" w:lineRule="exact"/>
        <w:ind w:leftChars="0"/>
        <w:rPr>
          <w:rFonts w:hint="default" w:ascii="仿宋" w:hAnsi="仿宋" w:eastAsia="仿宋" w:cs="仿宋"/>
          <w:sz w:val="32"/>
          <w:szCs w:val="32"/>
          <w:lang w:val="en-US"/>
        </w:rPr>
      </w:pPr>
      <w:r>
        <w:rPr>
          <w:rFonts w:hint="eastAsia" w:ascii="仿宋" w:hAnsi="仿宋" w:eastAsia="仿宋" w:cs="仿宋"/>
          <w:bCs/>
          <w:sz w:val="32"/>
          <w:szCs w:val="32"/>
        </w:rPr>
        <w:t>十</w:t>
      </w:r>
      <w:r>
        <w:rPr>
          <w:rFonts w:hint="eastAsia" w:ascii="仿宋" w:hAnsi="仿宋" w:eastAsia="仿宋" w:cs="仿宋"/>
          <w:bCs/>
          <w:sz w:val="32"/>
          <w:szCs w:val="32"/>
          <w:lang w:val="en-US" w:eastAsia="zh-CN"/>
        </w:rPr>
        <w:t>二</w:t>
      </w:r>
      <w:r>
        <w:rPr>
          <w:rFonts w:hint="eastAsia" w:ascii="仿宋" w:hAnsi="仿宋" w:eastAsia="仿宋" w:cs="仿宋"/>
          <w:bCs/>
          <w:sz w:val="32"/>
          <w:szCs w:val="32"/>
        </w:rPr>
        <w:t>、其他重要事项情况说明</w:t>
      </w:r>
      <w:r>
        <w:rPr>
          <w:rFonts w:hint="eastAsia" w:ascii="仿宋" w:hAnsi="仿宋" w:eastAsia="仿宋" w:cs="仿宋"/>
          <w:sz w:val="32"/>
          <w:szCs w:val="32"/>
        </w:rPr>
        <w:tab/>
      </w:r>
      <w:r>
        <w:rPr>
          <w:rFonts w:hint="eastAsia" w:ascii="仿宋" w:hAnsi="仿宋" w:eastAsia="仿宋" w:cs="仿宋"/>
          <w:sz w:val="32"/>
          <w:szCs w:val="32"/>
        </w:rPr>
        <w:t>1</w:t>
      </w:r>
      <w:r>
        <w:rPr>
          <w:rFonts w:hint="eastAsia" w:ascii="仿宋" w:hAnsi="仿宋" w:eastAsia="仿宋" w:cs="仿宋"/>
          <w:sz w:val="32"/>
          <w:szCs w:val="32"/>
          <w:lang w:val="en-US" w:eastAsia="zh-CN"/>
        </w:rPr>
        <w:t>1</w:t>
      </w:r>
    </w:p>
    <w:p>
      <w:pPr>
        <w:pStyle w:val="18"/>
        <w:tabs>
          <w:tab w:val="right" w:leader="dot" w:pos="8306"/>
        </w:tabs>
        <w:spacing w:line="578" w:lineRule="exact"/>
        <w:rPr>
          <w:rFonts w:hint="eastAsia" w:ascii="黑体" w:hAnsi="ˎ̥"/>
          <w:b/>
          <w:sz w:val="32"/>
          <w:szCs w:val="32"/>
        </w:rPr>
      </w:pPr>
      <w:r>
        <w:rPr>
          <w:sz w:val="32"/>
          <w:szCs w:val="32"/>
        </w:rPr>
        <w:fldChar w:fldCharType="begin"/>
      </w:r>
      <w:r>
        <w:rPr>
          <w:sz w:val="32"/>
          <w:szCs w:val="32"/>
        </w:rPr>
        <w:instrText xml:space="preserve"> HYPERLINK \l _Toc15425_WPSOffice_Level1 </w:instrText>
      </w:r>
      <w:r>
        <w:rPr>
          <w:sz w:val="32"/>
          <w:szCs w:val="32"/>
        </w:rPr>
        <w:fldChar w:fldCharType="separate"/>
      </w:r>
      <w:r>
        <w:rPr>
          <w:rFonts w:hint="eastAsia" w:ascii="黑体" w:hAnsi="ˎ̥" w:eastAsia="黑体"/>
          <w:sz w:val="32"/>
          <w:szCs w:val="32"/>
        </w:rPr>
        <w:t>第四部分  名词解释</w:t>
      </w:r>
      <w:r>
        <w:rPr>
          <w:sz w:val="32"/>
          <w:szCs w:val="32"/>
        </w:rPr>
        <w:tab/>
      </w:r>
      <w:bookmarkStart w:id="1" w:name="_Toc15425_WPSOffice_Level1Page"/>
      <w:r>
        <w:rPr>
          <w:sz w:val="32"/>
          <w:szCs w:val="32"/>
        </w:rPr>
        <w:t>1</w:t>
      </w:r>
      <w:bookmarkEnd w:id="1"/>
      <w:r>
        <w:rPr>
          <w:sz w:val="32"/>
          <w:szCs w:val="32"/>
        </w:rPr>
        <w:fldChar w:fldCharType="end"/>
      </w:r>
      <w:bookmarkEnd w:id="0"/>
      <w:r>
        <w:rPr>
          <w:rFonts w:hint="eastAsia"/>
          <w:sz w:val="32"/>
          <w:szCs w:val="32"/>
          <w:lang w:val="en-US" w:eastAsia="zh-CN"/>
        </w:rPr>
        <w:t>2</w:t>
      </w:r>
    </w:p>
    <w:p>
      <w:pPr>
        <w:spacing w:line="578" w:lineRule="exact"/>
        <w:jc w:val="both"/>
        <w:rPr>
          <w:rFonts w:hint="eastAsia" w:ascii="黑体" w:hAnsi="ˎ̥" w:eastAsia="黑体"/>
          <w:sz w:val="32"/>
          <w:szCs w:val="32"/>
        </w:rPr>
      </w:pPr>
      <w:bookmarkStart w:id="2" w:name="_Toc10720_WPSOffice_Level1"/>
      <w:bookmarkStart w:id="3" w:name="_Toc22941_WPSOffice_Level1"/>
      <w:bookmarkStart w:id="4" w:name="_Toc10049_WPSOffice_Level1"/>
      <w:bookmarkStart w:id="5" w:name="_Toc1704_WPSOffice_Level1"/>
      <w:bookmarkStart w:id="6" w:name="_Toc32433_WPSOffice_Level1"/>
      <w:bookmarkStart w:id="7" w:name="_Toc23465_WPSOffice_Level1"/>
      <w:bookmarkStart w:id="8" w:name="_Toc24238_WPSOffice_Level2"/>
      <w:bookmarkStart w:id="9" w:name="_Toc20205_WPSOffice_Level2"/>
      <w:bookmarkStart w:id="10" w:name="_Toc14159_WPSOffice_Level2"/>
      <w:bookmarkStart w:id="11" w:name="_Toc26580_WPSOffice_Level2"/>
      <w:bookmarkStart w:id="12" w:name="_Toc32622_WPSOffice_Level2"/>
      <w:bookmarkStart w:id="13" w:name="_Toc20274_WPSOffice_Level2"/>
    </w:p>
    <w:p>
      <w:pPr>
        <w:spacing w:line="578" w:lineRule="exact"/>
        <w:jc w:val="center"/>
        <w:rPr>
          <w:rFonts w:hint="eastAsia" w:ascii="黑体" w:hAnsi="ˎ̥" w:eastAsia="黑体"/>
          <w:sz w:val="32"/>
          <w:szCs w:val="32"/>
        </w:rPr>
      </w:pPr>
      <w:r>
        <w:rPr>
          <w:rFonts w:hint="eastAsia" w:ascii="黑体" w:hAnsi="ˎ̥" w:eastAsia="黑体"/>
          <w:sz w:val="32"/>
          <w:szCs w:val="32"/>
        </w:rPr>
        <w:t xml:space="preserve">第一部分  </w:t>
      </w:r>
      <w:bookmarkEnd w:id="2"/>
      <w:bookmarkEnd w:id="3"/>
      <w:bookmarkEnd w:id="4"/>
      <w:bookmarkEnd w:id="5"/>
      <w:bookmarkEnd w:id="6"/>
      <w:bookmarkEnd w:id="7"/>
      <w:r>
        <w:rPr>
          <w:rFonts w:hint="eastAsia" w:ascii="黑体" w:hAnsi="ˎ̥" w:eastAsia="黑体"/>
          <w:sz w:val="32"/>
          <w:szCs w:val="32"/>
        </w:rPr>
        <w:t>基本情况</w:t>
      </w:r>
    </w:p>
    <w:p>
      <w:pPr>
        <w:spacing w:line="578" w:lineRule="exact"/>
        <w:ind w:firstLine="640" w:firstLineChars="200"/>
        <w:rPr>
          <w:rFonts w:hint="eastAsia" w:ascii="楷体" w:hAnsi="楷体" w:eastAsia="楷体" w:cs="楷体"/>
          <w:sz w:val="32"/>
          <w:szCs w:val="32"/>
        </w:rPr>
      </w:pPr>
    </w:p>
    <w:p>
      <w:pPr>
        <w:numPr>
          <w:ilvl w:val="0"/>
          <w:numId w:val="1"/>
        </w:numPr>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部门</w:t>
      </w:r>
      <w:bookmarkEnd w:id="8"/>
      <w:r>
        <w:rPr>
          <w:rFonts w:hint="eastAsia" w:ascii="黑体" w:hAnsi="黑体" w:eastAsia="黑体" w:cs="黑体"/>
          <w:sz w:val="32"/>
          <w:szCs w:val="32"/>
        </w:rPr>
        <w:t>（单位）职责</w:t>
      </w:r>
      <w:bookmarkEnd w:id="9"/>
      <w:bookmarkEnd w:id="10"/>
      <w:bookmarkEnd w:id="11"/>
      <w:bookmarkEnd w:id="12"/>
      <w:bookmarkEnd w:id="13"/>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jc w:val="left"/>
        <w:textAlignment w:val="auto"/>
        <w:rPr>
          <w:rFonts w:hint="eastAsia" w:ascii="仿宋_GB2312" w:hAnsi="ˎ̥" w:eastAsia="仿宋_GB2312" w:cs="Times New Roman"/>
          <w:kern w:val="2"/>
          <w:sz w:val="32"/>
          <w:szCs w:val="32"/>
        </w:rPr>
      </w:pPr>
      <w:r>
        <w:rPr>
          <w:rFonts w:hint="eastAsia" w:ascii="仿宋_GB2312" w:hAnsi="ˎ̥" w:eastAsia="仿宋_GB2312" w:cs="Times New Roman"/>
          <w:kern w:val="2"/>
          <w:sz w:val="32"/>
          <w:szCs w:val="32"/>
        </w:rPr>
        <w:t>1.</w:t>
      </w:r>
      <w:r>
        <w:rPr>
          <w:rFonts w:hint="eastAsia" w:ascii="仿宋_GB2312" w:hAnsi="仿宋" w:eastAsia="仿宋_GB2312" w:cs="Times New Roman"/>
          <w:sz w:val="32"/>
          <w:szCs w:val="32"/>
          <w:highlight w:val="none"/>
          <w:lang w:val="en-US" w:eastAsia="zh-CN"/>
        </w:rPr>
        <w:t>贯彻执行中央财政工作的法律法规、相关政策和省委、县委有关工作要求，严格执行财经制度及各项财务管理制度，落实财政高质量发展规划及其有关措施。</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jc w:val="left"/>
        <w:textAlignment w:val="auto"/>
        <w:rPr>
          <w:rFonts w:hint="eastAsia" w:ascii="仿宋_GB2312" w:hAnsi="ˎ̥" w:eastAsia="仿宋_GB2312" w:cs="Times New Roman"/>
          <w:kern w:val="2"/>
          <w:sz w:val="32"/>
          <w:szCs w:val="32"/>
        </w:rPr>
      </w:pPr>
      <w:r>
        <w:rPr>
          <w:rFonts w:hint="eastAsia" w:ascii="仿宋_GB2312" w:hAnsi="ˎ̥" w:eastAsia="仿宋_GB2312" w:cs="Times New Roman"/>
          <w:kern w:val="2"/>
          <w:sz w:val="32"/>
          <w:szCs w:val="32"/>
        </w:rPr>
        <w:t>2.</w:t>
      </w:r>
      <w:r>
        <w:rPr>
          <w:rFonts w:hint="eastAsia" w:ascii="仿宋_GB2312" w:hAnsi="仿宋" w:eastAsia="仿宋_GB2312" w:cs="Times New Roman"/>
          <w:sz w:val="32"/>
          <w:szCs w:val="32"/>
          <w:highlight w:val="none"/>
          <w:lang w:val="en-US" w:eastAsia="zh-CN"/>
        </w:rPr>
        <w:t>负责对乡镇财政、财务、会计活动监督；负责健全乡镇财会监督机制。</w:t>
      </w:r>
    </w:p>
    <w:p>
      <w:pPr>
        <w:snapToGrid w:val="0"/>
        <w:spacing w:line="520" w:lineRule="exact"/>
        <w:ind w:firstLine="640" w:firstLineChars="200"/>
        <w:rPr>
          <w:rFonts w:hint="eastAsia" w:ascii="仿宋_GB2312" w:hAnsi="ˎ̥" w:eastAsia="仿宋_GB2312" w:cs="Times New Roman"/>
          <w:kern w:val="2"/>
          <w:sz w:val="32"/>
          <w:szCs w:val="32"/>
        </w:rPr>
      </w:pPr>
      <w:r>
        <w:rPr>
          <w:rFonts w:hint="eastAsia" w:ascii="仿宋_GB2312" w:hAnsi="ˎ̥" w:eastAsia="仿宋_GB2312" w:cs="Times New Roman"/>
          <w:kern w:val="2"/>
          <w:sz w:val="32"/>
          <w:szCs w:val="32"/>
        </w:rPr>
        <w:t>3.</w:t>
      </w:r>
      <w:r>
        <w:rPr>
          <w:rFonts w:hint="eastAsia" w:ascii="仿宋_GB2312" w:hAnsi="仿宋" w:eastAsia="仿宋_GB2312" w:cs="Times New Roman"/>
          <w:sz w:val="32"/>
          <w:szCs w:val="32"/>
          <w:highlight w:val="none"/>
          <w:lang w:val="en-US" w:eastAsia="zh-CN"/>
        </w:rPr>
        <w:t>负责农村集体经济组织资金、资产、资源（以下简称“三资”）监管，规范农村集体经济组织财务收支行为，定期抽查农村集体经济组织资金管理使用情况；负责农村集体经济组织债务监督，防范财政风险和新增不良债务。</w:t>
      </w:r>
    </w:p>
    <w:p>
      <w:pPr>
        <w:snapToGrid w:val="0"/>
        <w:spacing w:line="52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ˎ̥" w:eastAsia="仿宋_GB2312" w:cs="Times New Roman"/>
          <w:kern w:val="2"/>
          <w:sz w:val="32"/>
          <w:szCs w:val="32"/>
        </w:rPr>
        <w:t>4.</w:t>
      </w:r>
      <w:r>
        <w:rPr>
          <w:rFonts w:hint="eastAsia" w:ascii="仿宋_GB2312" w:hAnsi="仿宋" w:eastAsia="仿宋_GB2312" w:cs="Times New Roman"/>
          <w:sz w:val="32"/>
          <w:szCs w:val="32"/>
          <w:highlight w:val="none"/>
          <w:lang w:val="en-US" w:eastAsia="zh-CN"/>
        </w:rPr>
        <w:t>负责全县农村集体经济组织会计委托代理服务，审核农村集体经济组织“三资”原始凭证和资金拨付，做好会计核算有关工作；负责对农村集体经济组织“三资”情况的会计监督。</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jc w:val="left"/>
        <w:textAlignment w:val="auto"/>
        <w:rPr>
          <w:rFonts w:hint="eastAsia" w:ascii="仿宋_GB2312" w:hAnsi="ˎ̥" w:eastAsia="仿宋_GB2312" w:cs="Times New Roman"/>
          <w:kern w:val="2"/>
          <w:sz w:val="32"/>
          <w:szCs w:val="32"/>
        </w:rPr>
      </w:pPr>
      <w:r>
        <w:rPr>
          <w:rFonts w:hint="eastAsia" w:ascii="仿宋_GB2312" w:hAnsi="ˎ̥" w:eastAsia="仿宋_GB2312" w:cs="Times New Roman"/>
          <w:kern w:val="2"/>
          <w:sz w:val="32"/>
          <w:szCs w:val="32"/>
        </w:rPr>
        <w:t>5.</w:t>
      </w:r>
      <w:r>
        <w:rPr>
          <w:rFonts w:hint="eastAsia" w:ascii="仿宋_GB2312" w:hAnsi="仿宋" w:eastAsia="仿宋_GB2312" w:cs="Times New Roman"/>
          <w:sz w:val="32"/>
          <w:szCs w:val="32"/>
          <w:highlight w:val="none"/>
          <w:lang w:val="en-US" w:eastAsia="zh-CN"/>
        </w:rPr>
        <w:t>负责乡镇预算单位的财务和国有资产监管。</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jc w:val="left"/>
        <w:textAlignment w:val="auto"/>
        <w:rPr>
          <w:rFonts w:hint="eastAsia" w:ascii="仿宋_GB2312" w:hAnsi="ˎ̥" w:eastAsia="仿宋_GB2312" w:cs="Times New Roman"/>
          <w:kern w:val="2"/>
          <w:sz w:val="32"/>
          <w:szCs w:val="32"/>
        </w:rPr>
      </w:pPr>
      <w:r>
        <w:rPr>
          <w:rFonts w:hint="eastAsia" w:ascii="仿宋_GB2312" w:hAnsi="ˎ̥" w:eastAsia="仿宋_GB2312" w:cs="Times New Roman"/>
          <w:kern w:val="2"/>
          <w:sz w:val="32"/>
          <w:szCs w:val="32"/>
        </w:rPr>
        <w:t>6.</w:t>
      </w:r>
      <w:r>
        <w:rPr>
          <w:rFonts w:hint="eastAsia" w:ascii="仿宋_GB2312" w:hAnsi="仿宋" w:eastAsia="仿宋_GB2312" w:cs="Times New Roman"/>
          <w:sz w:val="32"/>
          <w:szCs w:val="32"/>
          <w:highlight w:val="none"/>
          <w:lang w:val="en-US" w:eastAsia="zh-CN"/>
        </w:rPr>
        <w:t>负责乡镇学校会计核算、财务报告编制和审核；协助编制全县综合财务报告，参与预算单位预决算编制。</w:t>
      </w:r>
    </w:p>
    <w:p>
      <w:pPr>
        <w:snapToGrid w:val="0"/>
        <w:spacing w:line="52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ˎ̥" w:eastAsia="仿宋_GB2312" w:cs="Times New Roman"/>
          <w:kern w:val="2"/>
          <w:sz w:val="32"/>
          <w:szCs w:val="32"/>
        </w:rPr>
        <w:t>7.</w:t>
      </w:r>
      <w:r>
        <w:rPr>
          <w:rFonts w:hint="eastAsia" w:ascii="仿宋_GB2312" w:hAnsi="仿宋" w:eastAsia="仿宋_GB2312" w:cs="Times New Roman"/>
          <w:sz w:val="32"/>
          <w:szCs w:val="32"/>
          <w:highlight w:val="none"/>
          <w:lang w:val="en-US" w:eastAsia="zh-CN"/>
        </w:rPr>
        <w:t>协助乡镇政府开展城乡居民医疗保险等代理征收工作。</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jc w:val="left"/>
        <w:textAlignment w:val="auto"/>
        <w:rPr>
          <w:rFonts w:hint="eastAsia" w:ascii="仿宋_GB2312" w:hAnsi="ˎ̥" w:eastAsia="仿宋_GB2312" w:cs="Times New Roman"/>
          <w:kern w:val="2"/>
          <w:sz w:val="32"/>
          <w:szCs w:val="32"/>
        </w:rPr>
      </w:pPr>
      <w:r>
        <w:rPr>
          <w:rFonts w:hint="eastAsia" w:ascii="仿宋_GB2312" w:hAnsi="ˎ̥" w:eastAsia="仿宋_GB2312" w:cs="Times New Roman"/>
          <w:kern w:val="2"/>
          <w:sz w:val="32"/>
          <w:szCs w:val="32"/>
        </w:rPr>
        <w:t>8.六弓工作站承担和履行派驻乡镇工作职责。</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jc w:val="left"/>
        <w:textAlignment w:val="auto"/>
        <w:rPr>
          <w:rFonts w:hint="eastAsia" w:ascii="黑体" w:hAnsi="黑体" w:eastAsia="黑体" w:cs="黑体"/>
          <w:sz w:val="32"/>
          <w:szCs w:val="32"/>
        </w:rPr>
      </w:pPr>
      <w:r>
        <w:rPr>
          <w:rFonts w:hint="eastAsia" w:ascii="仿宋_GB2312" w:hAnsi="ˎ̥" w:eastAsia="仿宋_GB2312" w:cs="Times New Roman"/>
          <w:kern w:val="2"/>
          <w:sz w:val="32"/>
          <w:szCs w:val="32"/>
        </w:rPr>
        <w:t>9.负责乡镇财政所承担的其他工作</w:t>
      </w:r>
      <w:r>
        <w:rPr>
          <w:rFonts w:hint="eastAsia" w:ascii="仿宋_GB2312" w:hAnsi="ˎ̥" w:eastAsia="仿宋_GB2312" w:cs="Times New Roman"/>
          <w:kern w:val="2"/>
          <w:sz w:val="32"/>
          <w:szCs w:val="32"/>
          <w:lang w:eastAsia="zh-CN"/>
        </w:rPr>
        <w:t>。</w:t>
      </w:r>
    </w:p>
    <w:p>
      <w:pPr>
        <w:spacing w:line="578" w:lineRule="exact"/>
        <w:ind w:firstLine="640" w:firstLineChars="200"/>
        <w:rPr>
          <w:rFonts w:hint="eastAsia" w:ascii="黑体" w:hAnsi="黑体" w:eastAsia="黑体" w:cs="黑体"/>
          <w:sz w:val="32"/>
          <w:szCs w:val="32"/>
        </w:rPr>
      </w:pPr>
      <w:bookmarkStart w:id="14" w:name="_Toc6572_WPSOffice_Level2"/>
      <w:bookmarkStart w:id="15" w:name="_Toc17796_WPSOffice_Level2"/>
      <w:bookmarkStart w:id="16" w:name="_Toc24059_WPSOffice_Level2"/>
      <w:bookmarkStart w:id="17" w:name="_Toc24474_WPSOffice_Level2"/>
      <w:bookmarkStart w:id="18" w:name="_Toc4833_WPSOffice_Level2"/>
      <w:r>
        <w:rPr>
          <w:rFonts w:hint="eastAsia" w:ascii="黑体" w:hAnsi="黑体" w:eastAsia="黑体" w:cs="黑体"/>
          <w:sz w:val="32"/>
          <w:szCs w:val="32"/>
        </w:rPr>
        <w:t>二、机构设置</w:t>
      </w:r>
      <w:bookmarkEnd w:id="14"/>
      <w:bookmarkEnd w:id="15"/>
      <w:bookmarkEnd w:id="16"/>
      <w:bookmarkEnd w:id="17"/>
      <w:bookmarkEnd w:id="18"/>
    </w:p>
    <w:p>
      <w:pPr>
        <w:spacing w:line="578" w:lineRule="exact"/>
        <w:ind w:firstLine="640" w:firstLineChars="200"/>
        <w:rPr>
          <w:rFonts w:hint="eastAsia" w:ascii="仿宋_GB2312" w:hAnsi="ˎ̥" w:eastAsia="仿宋_GB2312"/>
          <w:sz w:val="32"/>
          <w:szCs w:val="32"/>
        </w:rPr>
      </w:pPr>
      <w:bookmarkStart w:id="19" w:name="_Toc4442_WPSOffice_Level2"/>
      <w:bookmarkStart w:id="20" w:name="_Toc19721_WPSOffice_Level2"/>
      <w:r>
        <w:rPr>
          <w:rFonts w:hint="eastAsia" w:ascii="仿宋_GB2312" w:hAnsi="ˎ̥" w:eastAsia="仿宋_GB2312"/>
          <w:sz w:val="32"/>
          <w:szCs w:val="32"/>
        </w:rPr>
        <w:t>纳入</w:t>
      </w:r>
      <w:r>
        <w:rPr>
          <w:rFonts w:hint="eastAsia" w:ascii="仿宋_GB2312" w:hAnsi="ˎ̥" w:eastAsia="仿宋_GB2312"/>
          <w:color w:val="auto"/>
          <w:sz w:val="32"/>
          <w:szCs w:val="32"/>
          <w:lang w:val="en-US" w:eastAsia="zh-CN"/>
        </w:rPr>
        <w:t>加茂财政所</w:t>
      </w:r>
      <w:r>
        <w:rPr>
          <w:rFonts w:hint="eastAsia" w:ascii="仿宋_GB2312" w:hAnsi="ˎ̥" w:eastAsia="仿宋_GB2312"/>
          <w:sz w:val="32"/>
          <w:szCs w:val="32"/>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年度部门决算编制范围的单位共</w:t>
      </w:r>
      <w:r>
        <w:rPr>
          <w:rFonts w:hint="eastAsia" w:ascii="仿宋_GB2312" w:hAnsi="ˎ̥" w:eastAsia="仿宋_GB2312"/>
          <w:color w:val="auto"/>
          <w:sz w:val="32"/>
          <w:szCs w:val="32"/>
          <w:lang w:val="en-US" w:eastAsia="zh-CN"/>
        </w:rPr>
        <w:t>1</w:t>
      </w:r>
      <w:r>
        <w:rPr>
          <w:rFonts w:hint="eastAsia" w:ascii="仿宋_GB2312" w:hAnsi="ˎ̥" w:eastAsia="仿宋_GB2312"/>
          <w:sz w:val="32"/>
          <w:szCs w:val="32"/>
        </w:rPr>
        <w:t>个，包括：</w:t>
      </w:r>
    </w:p>
    <w:p>
      <w:pPr>
        <w:numPr>
          <w:ilvl w:val="0"/>
          <w:numId w:val="2"/>
        </w:numPr>
        <w:spacing w:line="578"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color w:val="auto"/>
          <w:sz w:val="32"/>
          <w:szCs w:val="32"/>
          <w:lang w:val="en-US" w:eastAsia="zh-CN"/>
        </w:rPr>
        <w:t>加茂财政所</w:t>
      </w:r>
      <w:r>
        <w:rPr>
          <w:rFonts w:hint="eastAsia" w:ascii="方正楷体_GBK" w:hAnsi="方正楷体_GBK" w:eastAsia="方正楷体_GBK" w:cs="方正楷体_GBK"/>
          <w:sz w:val="32"/>
          <w:szCs w:val="32"/>
        </w:rPr>
        <w:t>部门本级</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rightChars="0" w:firstLine="640" w:firstLineChars="200"/>
        <w:jc w:val="both"/>
        <w:textAlignment w:val="auto"/>
        <w:outlineLvl w:val="9"/>
        <w:rPr>
          <w:rFonts w:hint="eastAsia" w:ascii="方正楷体_GBK" w:hAnsi="方正楷体_GBK" w:eastAsia="方正楷体_GBK" w:cs="方正楷体_GBK"/>
          <w:sz w:val="32"/>
          <w:szCs w:val="32"/>
        </w:rPr>
      </w:pPr>
      <w:r>
        <w:rPr>
          <w:rFonts w:hint="eastAsia" w:ascii="仿宋_GB2312" w:eastAsia="仿宋_GB2312"/>
          <w:sz w:val="32"/>
          <w:szCs w:val="32"/>
        </w:rPr>
        <w:t>共设</w:t>
      </w:r>
      <w:r>
        <w:rPr>
          <w:rFonts w:hint="eastAsia" w:ascii="仿宋_GB2312" w:eastAsia="仿宋_GB2312"/>
          <w:sz w:val="32"/>
          <w:szCs w:val="32"/>
          <w:lang w:val="en-US" w:eastAsia="zh-CN"/>
        </w:rPr>
        <w:t>3</w:t>
      </w:r>
      <w:r>
        <w:rPr>
          <w:rFonts w:hint="eastAsia" w:ascii="仿宋_GB2312" w:eastAsia="仿宋_GB2312"/>
          <w:sz w:val="32"/>
          <w:szCs w:val="32"/>
        </w:rPr>
        <w:t>个岗位：</w:t>
      </w:r>
      <w:r>
        <w:rPr>
          <w:rFonts w:hint="eastAsia" w:ascii="仿宋_GB2312" w:eastAsia="仿宋_GB2312"/>
          <w:sz w:val="32"/>
          <w:szCs w:val="32"/>
          <w:lang w:eastAsia="zh-CN"/>
        </w:rPr>
        <w:t>财政监督岗</w:t>
      </w:r>
      <w:r>
        <w:rPr>
          <w:rFonts w:hint="eastAsia" w:ascii="仿宋_GB2312" w:hAnsi="Times New Roman" w:eastAsia="仿宋_GB2312"/>
          <w:sz w:val="32"/>
        </w:rPr>
        <w:t>,</w:t>
      </w:r>
      <w:r>
        <w:rPr>
          <w:rFonts w:hint="eastAsia" w:ascii="仿宋_GB2312" w:hAnsi="Times New Roman" w:eastAsia="仿宋_GB2312"/>
          <w:sz w:val="32"/>
          <w:lang w:eastAsia="zh-CN"/>
        </w:rPr>
        <w:t>农村集体经济组织管理岗</w:t>
      </w:r>
      <w:r>
        <w:rPr>
          <w:rFonts w:hint="eastAsia" w:ascii="仿宋_GB2312" w:hAnsi="Times New Roman" w:eastAsia="仿宋_GB2312"/>
          <w:sz w:val="32"/>
        </w:rPr>
        <w:t>,</w:t>
      </w:r>
      <w:r>
        <w:rPr>
          <w:rFonts w:hint="eastAsia" w:ascii="仿宋_GB2312" w:hAnsi="Times New Roman" w:eastAsia="仿宋_GB2312"/>
          <w:sz w:val="32"/>
          <w:lang w:eastAsia="zh-CN"/>
        </w:rPr>
        <w:t>乡镇预算单位管理岗</w:t>
      </w:r>
      <w:r>
        <w:rPr>
          <w:rFonts w:hint="eastAsia" w:ascii="仿宋_GB2312" w:hAnsi="Times New Roman" w:eastAsia="仿宋_GB2312"/>
          <w:sz w:val="32"/>
        </w:rPr>
        <w:t>。</w:t>
      </w:r>
    </w:p>
    <w:p>
      <w:pPr>
        <w:spacing w:line="578"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w:t>
      </w:r>
      <w:r>
        <w:rPr>
          <w:rFonts w:hint="eastAsia" w:ascii="方正楷体_GBK" w:hAnsi="方正楷体_GBK" w:eastAsia="方正楷体_GBK" w:cs="方正楷体_GBK"/>
          <w:color w:val="auto"/>
          <w:sz w:val="32"/>
          <w:szCs w:val="32"/>
          <w:lang w:val="en-US" w:eastAsia="zh-CN"/>
        </w:rPr>
        <w:t>无</w:t>
      </w:r>
      <w:r>
        <w:rPr>
          <w:rFonts w:hint="eastAsia" w:ascii="方正楷体_GBK" w:hAnsi="方正楷体_GBK" w:eastAsia="方正楷体_GBK" w:cs="方正楷体_GBK"/>
          <w:sz w:val="32"/>
          <w:szCs w:val="32"/>
        </w:rPr>
        <w:t>下属单位</w:t>
      </w:r>
      <w:bookmarkEnd w:id="19"/>
      <w:bookmarkEnd w:id="20"/>
    </w:p>
    <w:p>
      <w:pPr>
        <w:spacing w:line="578" w:lineRule="exact"/>
        <w:jc w:val="center"/>
        <w:rPr>
          <w:rFonts w:hint="eastAsia" w:ascii="黑体" w:hAnsi="ˎ̥" w:eastAsia="黑体"/>
          <w:sz w:val="32"/>
          <w:szCs w:val="32"/>
        </w:rPr>
      </w:pPr>
      <w:bookmarkStart w:id="21" w:name="_Toc30690_WPSOffice_Level1"/>
      <w:bookmarkStart w:id="22" w:name="_Toc6234_WPSOffice_Level1"/>
      <w:bookmarkStart w:id="23" w:name="_Toc28253_WPSOffice_Level1"/>
      <w:bookmarkStart w:id="24" w:name="_Toc15521_WPSOffice_Level1"/>
      <w:bookmarkStart w:id="25" w:name="_Toc8164_WPSOffice_Level1"/>
      <w:bookmarkStart w:id="26" w:name="_Toc30451_WPSOffice_Level1"/>
      <w:bookmarkStart w:id="27" w:name="_Toc32472_WPSOffice_Level2"/>
      <w:bookmarkStart w:id="28" w:name="_Toc6211_WPSOffice_Level2"/>
      <w:bookmarkStart w:id="29" w:name="_Toc32695_WPSOffice_Level2"/>
      <w:bookmarkStart w:id="30" w:name="_Toc4029_WPSOffice_Level2"/>
      <w:bookmarkStart w:id="31" w:name="_Toc8867_WPSOffice_Level2"/>
      <w:bookmarkStart w:id="32" w:name="_Toc11518_WPSOffice_Level2"/>
    </w:p>
    <w:p>
      <w:pPr>
        <w:spacing w:line="578" w:lineRule="exact"/>
        <w:jc w:val="center"/>
        <w:rPr>
          <w:rFonts w:hint="eastAsia" w:ascii="黑体" w:hAnsi="ˎ̥" w:eastAsia="黑体"/>
          <w:sz w:val="32"/>
          <w:szCs w:val="32"/>
        </w:rPr>
      </w:pPr>
      <w:r>
        <w:rPr>
          <w:rFonts w:hint="eastAsia" w:ascii="黑体" w:hAnsi="ˎ̥" w:eastAsia="黑体"/>
          <w:sz w:val="32"/>
          <w:szCs w:val="32"/>
        </w:rPr>
        <w:t xml:space="preserve">第二部分  </w:t>
      </w:r>
      <w:r>
        <w:rPr>
          <w:rFonts w:hint="default" w:ascii="黑体" w:hAnsi="ˎ̥" w:eastAsia="黑体"/>
          <w:sz w:val="32"/>
          <w:szCs w:val="32"/>
          <w:lang w:val="en-US"/>
        </w:rPr>
        <w:t>2025</w:t>
      </w:r>
      <w:r>
        <w:rPr>
          <w:rFonts w:hint="eastAsia" w:ascii="黑体" w:hAnsi="ˎ̥" w:eastAsia="黑体"/>
          <w:sz w:val="32"/>
          <w:szCs w:val="32"/>
        </w:rPr>
        <w:t>年度部门决算公开报表</w:t>
      </w:r>
      <w:bookmarkEnd w:id="21"/>
      <w:bookmarkEnd w:id="22"/>
      <w:bookmarkEnd w:id="23"/>
      <w:bookmarkEnd w:id="24"/>
      <w:bookmarkEnd w:id="25"/>
      <w:bookmarkEnd w:id="26"/>
    </w:p>
    <w:p>
      <w:pPr>
        <w:spacing w:line="578" w:lineRule="exact"/>
        <w:ind w:firstLine="645"/>
        <w:rPr>
          <w:rFonts w:hint="eastAsia" w:ascii="黑体" w:hAnsi="黑体" w:eastAsia="黑体" w:cs="黑体"/>
          <w:sz w:val="32"/>
          <w:szCs w:val="32"/>
        </w:rPr>
      </w:pPr>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一、收入支出决算公开表</w:t>
      </w:r>
      <w:bookmarkEnd w:id="27"/>
      <w:bookmarkEnd w:id="28"/>
      <w:bookmarkEnd w:id="29"/>
      <w:bookmarkEnd w:id="30"/>
      <w:bookmarkEnd w:id="31"/>
      <w:bookmarkEnd w:id="32"/>
    </w:p>
    <w:p>
      <w:pPr>
        <w:spacing w:line="578" w:lineRule="exact"/>
        <w:ind w:firstLine="645"/>
        <w:rPr>
          <w:rFonts w:hint="eastAsia" w:ascii="黑体" w:hAnsi="黑体" w:eastAsia="黑体" w:cs="黑体"/>
          <w:sz w:val="32"/>
          <w:szCs w:val="32"/>
        </w:rPr>
      </w:pPr>
      <w:bookmarkStart w:id="33" w:name="_Toc28622_WPSOffice_Level2"/>
      <w:bookmarkStart w:id="34" w:name="_Toc25608_WPSOffice_Level2"/>
      <w:bookmarkStart w:id="35" w:name="_Toc14349_WPSOffice_Level2"/>
      <w:bookmarkStart w:id="36" w:name="_Toc26621_WPSOffice_Level2"/>
      <w:bookmarkStart w:id="37" w:name="_Toc23139_WPSOffice_Level2"/>
      <w:bookmarkStart w:id="38" w:name="_Toc30334_WPSOffice_Level2"/>
      <w:r>
        <w:rPr>
          <w:rFonts w:hint="eastAsia" w:ascii="黑体" w:hAnsi="黑体" w:eastAsia="黑体" w:cs="黑体"/>
          <w:sz w:val="32"/>
          <w:szCs w:val="32"/>
        </w:rPr>
        <w:t>二、收入决算公开表</w:t>
      </w:r>
      <w:bookmarkEnd w:id="33"/>
      <w:bookmarkEnd w:id="34"/>
      <w:bookmarkEnd w:id="35"/>
      <w:bookmarkEnd w:id="36"/>
      <w:bookmarkEnd w:id="37"/>
      <w:bookmarkEnd w:id="38"/>
      <w:bookmarkStart w:id="39" w:name="_Toc17858_WPSOffice_Level2"/>
      <w:bookmarkStart w:id="40" w:name="_Toc13854_WPSOffice_Level2"/>
      <w:bookmarkStart w:id="41" w:name="_Toc17626_WPSOffice_Level2"/>
      <w:bookmarkStart w:id="42" w:name="_Toc5489_WPSOffice_Level2"/>
      <w:bookmarkStart w:id="43" w:name="_Toc3262_WPSOffice_Level2"/>
      <w:bookmarkStart w:id="44" w:name="_Toc14658_WPSOffice_Level2"/>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三、支出决算公开表</w:t>
      </w:r>
      <w:bookmarkEnd w:id="39"/>
      <w:bookmarkEnd w:id="40"/>
      <w:bookmarkEnd w:id="41"/>
      <w:bookmarkEnd w:id="42"/>
      <w:bookmarkEnd w:id="43"/>
      <w:bookmarkEnd w:id="44"/>
      <w:bookmarkStart w:id="45" w:name="_Toc21415_WPSOffice_Level2"/>
      <w:bookmarkStart w:id="46" w:name="_Toc4265_WPSOffice_Level2"/>
      <w:bookmarkStart w:id="47" w:name="_Toc13701_WPSOffice_Level2"/>
      <w:bookmarkStart w:id="48" w:name="_Toc23493_WPSOffice_Level2"/>
      <w:bookmarkStart w:id="49" w:name="_Toc7988_WPSOffice_Level2"/>
      <w:bookmarkStart w:id="50" w:name="_Toc23591_WPSOffice_Level2"/>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四、财政拨款收入支出决算公开表</w:t>
      </w:r>
      <w:bookmarkEnd w:id="45"/>
      <w:bookmarkEnd w:id="46"/>
      <w:bookmarkEnd w:id="47"/>
      <w:bookmarkEnd w:id="48"/>
      <w:bookmarkEnd w:id="49"/>
      <w:bookmarkEnd w:id="50"/>
    </w:p>
    <w:p>
      <w:pPr>
        <w:spacing w:line="578" w:lineRule="exact"/>
        <w:ind w:firstLine="645"/>
        <w:rPr>
          <w:rFonts w:hint="eastAsia" w:ascii="黑体" w:hAnsi="黑体" w:eastAsia="黑体" w:cs="黑体"/>
          <w:sz w:val="32"/>
          <w:szCs w:val="32"/>
        </w:rPr>
      </w:pPr>
      <w:bookmarkStart w:id="51" w:name="_Toc22783_WPSOffice_Level2"/>
      <w:bookmarkStart w:id="52" w:name="_Toc25166_WPSOffice_Level2"/>
      <w:bookmarkStart w:id="53" w:name="_Toc7879_WPSOffice_Level2"/>
      <w:bookmarkStart w:id="54" w:name="_Toc23829_WPSOffice_Level2"/>
      <w:bookmarkStart w:id="55" w:name="_Toc2158_WPSOffice_Level2"/>
      <w:bookmarkStart w:id="56" w:name="_Toc13516_WPSOffice_Level2"/>
      <w:r>
        <w:rPr>
          <w:rFonts w:hint="eastAsia" w:ascii="黑体" w:hAnsi="黑体" w:eastAsia="黑体" w:cs="黑体"/>
          <w:sz w:val="32"/>
          <w:szCs w:val="32"/>
        </w:rPr>
        <w:t>五、一般公共预算财政拨款收入支出决算</w:t>
      </w:r>
      <w:bookmarkEnd w:id="51"/>
      <w:bookmarkEnd w:id="52"/>
      <w:bookmarkEnd w:id="53"/>
      <w:bookmarkEnd w:id="54"/>
      <w:r>
        <w:rPr>
          <w:rFonts w:hint="eastAsia" w:ascii="黑体" w:hAnsi="黑体" w:eastAsia="黑体" w:cs="黑体"/>
          <w:sz w:val="32"/>
          <w:szCs w:val="32"/>
        </w:rPr>
        <w:t>公开表</w:t>
      </w:r>
      <w:bookmarkEnd w:id="55"/>
      <w:bookmarkEnd w:id="56"/>
      <w:bookmarkStart w:id="57" w:name="_Toc2632_WPSOffice_Level2"/>
      <w:bookmarkStart w:id="58" w:name="_Toc25362_WPSOffice_Level2"/>
      <w:bookmarkStart w:id="59" w:name="_Toc17283_WPSOffice_Level2"/>
      <w:bookmarkStart w:id="60" w:name="_Toc5343_WPSOffice_Level2"/>
      <w:bookmarkStart w:id="61" w:name="_Toc17833_WPSOffice_Level2"/>
      <w:bookmarkStart w:id="62" w:name="_Toc8373_WPSOffice_Level2"/>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六、一般公共预算财政拨款基本支出决算</w:t>
      </w:r>
      <w:bookmarkEnd w:id="57"/>
      <w:bookmarkEnd w:id="58"/>
      <w:bookmarkEnd w:id="59"/>
      <w:bookmarkEnd w:id="60"/>
      <w:bookmarkEnd w:id="61"/>
      <w:bookmarkEnd w:id="62"/>
      <w:r>
        <w:rPr>
          <w:rFonts w:hint="eastAsia" w:ascii="黑体" w:hAnsi="黑体" w:eastAsia="黑体" w:cs="黑体"/>
          <w:sz w:val="32"/>
          <w:szCs w:val="32"/>
        </w:rPr>
        <w:t>公开表</w:t>
      </w:r>
    </w:p>
    <w:p>
      <w:pPr>
        <w:spacing w:line="578" w:lineRule="exact"/>
        <w:ind w:left="1118" w:leftChars="304" w:hanging="480" w:hangingChars="150"/>
        <w:rPr>
          <w:rFonts w:hint="eastAsia" w:ascii="黑体" w:hAnsi="黑体" w:eastAsia="黑体" w:cs="黑体"/>
          <w:sz w:val="32"/>
          <w:szCs w:val="32"/>
        </w:rPr>
      </w:pPr>
      <w:bookmarkStart w:id="63" w:name="_Toc11799_WPSOffice_Level2"/>
      <w:bookmarkStart w:id="64" w:name="_Toc6020_WPSOffice_Level2"/>
      <w:bookmarkStart w:id="65" w:name="_Toc1533_WPSOffice_Level2"/>
      <w:bookmarkStart w:id="66" w:name="_Toc13345_WPSOffice_Level2"/>
      <w:bookmarkStart w:id="67" w:name="_Toc21310_WPSOffice_Level2"/>
      <w:bookmarkStart w:id="68" w:name="_Toc5594_WPSOffice_Level2"/>
      <w:r>
        <w:rPr>
          <w:rFonts w:hint="eastAsia" w:ascii="黑体" w:hAnsi="黑体" w:eastAsia="黑体" w:cs="黑体"/>
          <w:sz w:val="32"/>
          <w:szCs w:val="32"/>
        </w:rPr>
        <w:t>七、政府性基金预算财政拨款收入支出决算</w:t>
      </w:r>
      <w:bookmarkEnd w:id="63"/>
      <w:bookmarkEnd w:id="64"/>
      <w:bookmarkEnd w:id="65"/>
      <w:bookmarkEnd w:id="66"/>
      <w:bookmarkEnd w:id="67"/>
      <w:bookmarkEnd w:id="68"/>
      <w:r>
        <w:rPr>
          <w:rFonts w:hint="eastAsia" w:ascii="黑体" w:hAnsi="黑体" w:eastAsia="黑体" w:cs="黑体"/>
          <w:sz w:val="32"/>
          <w:szCs w:val="32"/>
        </w:rPr>
        <w:t>公开表</w:t>
      </w:r>
    </w:p>
    <w:p>
      <w:pPr>
        <w:spacing w:line="578" w:lineRule="exact"/>
        <w:ind w:left="1118" w:leftChars="304" w:hanging="480" w:hangingChars="150"/>
        <w:rPr>
          <w:rFonts w:hint="eastAsia"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spacing w:line="578" w:lineRule="exact"/>
        <w:ind w:firstLine="640"/>
        <w:rPr>
          <w:rFonts w:hint="eastAsia" w:ascii="黑体" w:hAnsi="黑体" w:eastAsia="黑体" w:cs="黑体"/>
          <w:sz w:val="32"/>
          <w:szCs w:val="32"/>
        </w:rPr>
      </w:pPr>
      <w:bookmarkStart w:id="69" w:name="_Toc19961_WPSOffice_Level2"/>
      <w:bookmarkStart w:id="70" w:name="_Toc29886_WPSOffice_Level2"/>
      <w:bookmarkStart w:id="71" w:name="_Toc1820_WPSOffice_Level2"/>
      <w:bookmarkStart w:id="72" w:name="_Toc9377_WPSOffice_Level2"/>
      <w:r>
        <w:rPr>
          <w:rFonts w:hint="eastAsia" w:ascii="黑体" w:hAnsi="黑体" w:eastAsia="黑体" w:cs="黑体"/>
          <w:sz w:val="32"/>
          <w:szCs w:val="32"/>
        </w:rPr>
        <w:t>九、财政拨款“三公”经费支出决算</w:t>
      </w:r>
      <w:bookmarkEnd w:id="69"/>
      <w:bookmarkEnd w:id="70"/>
      <w:bookmarkEnd w:id="71"/>
      <w:bookmarkEnd w:id="72"/>
      <w:r>
        <w:rPr>
          <w:rFonts w:hint="eastAsia" w:ascii="黑体" w:hAnsi="黑体" w:eastAsia="黑体" w:cs="黑体"/>
          <w:sz w:val="32"/>
          <w:szCs w:val="32"/>
        </w:rPr>
        <w:t>公开表</w:t>
      </w:r>
    </w:p>
    <w:p>
      <w:pPr>
        <w:spacing w:line="578" w:lineRule="exact"/>
        <w:ind w:firstLine="640"/>
        <w:rPr>
          <w:rFonts w:hint="eastAsia" w:ascii="仿宋" w:hAnsi="仿宋" w:eastAsia="仿宋" w:cs="仿宋"/>
          <w:w w:val="100"/>
          <w:sz w:val="32"/>
          <w:szCs w:val="32"/>
        </w:rPr>
      </w:pPr>
      <w:r>
        <w:rPr>
          <w:rFonts w:hint="eastAsia" w:ascii="仿宋" w:hAnsi="仿宋" w:eastAsia="仿宋" w:cs="仿宋"/>
          <w:w w:val="100"/>
          <w:sz w:val="32"/>
          <w:szCs w:val="32"/>
        </w:rPr>
        <w:t xml:space="preserve">以上报表见附件1。   </w:t>
      </w:r>
    </w:p>
    <w:p>
      <w:pPr>
        <w:spacing w:line="578" w:lineRule="exact"/>
        <w:rPr>
          <w:rFonts w:hint="eastAsia" w:ascii="黑体" w:hAnsi="黑体" w:eastAsia="黑体" w:cs="黑体"/>
          <w:sz w:val="32"/>
          <w:szCs w:val="32"/>
        </w:rPr>
      </w:pPr>
    </w:p>
    <w:p>
      <w:pPr>
        <w:spacing w:line="578" w:lineRule="exact"/>
        <w:jc w:val="center"/>
        <w:rPr>
          <w:rFonts w:hint="eastAsia" w:ascii="黑体" w:hAnsi="ˎ̥" w:eastAsia="黑体"/>
          <w:sz w:val="32"/>
          <w:szCs w:val="32"/>
        </w:rPr>
      </w:pPr>
      <w:bookmarkStart w:id="73" w:name="_Toc28629_WPSOffice_Level1"/>
      <w:bookmarkStart w:id="74" w:name="_Toc29683_WPSOffice_Level1"/>
      <w:bookmarkStart w:id="75" w:name="_Toc4402_WPSOffice_Level1"/>
      <w:bookmarkStart w:id="76" w:name="_Toc27590_WPSOffice_Level1"/>
      <w:bookmarkStart w:id="77" w:name="_Toc16686_WPSOffice_Level1"/>
      <w:bookmarkStart w:id="78" w:name="_Toc31264_WPSOffice_Level1"/>
      <w:r>
        <w:rPr>
          <w:rFonts w:hint="eastAsia" w:ascii="黑体" w:hAnsi="ˎ̥" w:eastAsia="黑体"/>
          <w:sz w:val="32"/>
          <w:szCs w:val="32"/>
        </w:rPr>
        <w:t xml:space="preserve">第三部分  </w:t>
      </w:r>
      <w:r>
        <w:rPr>
          <w:rFonts w:hint="default" w:ascii="黑体" w:hAnsi="ˎ̥" w:eastAsia="黑体"/>
          <w:sz w:val="32"/>
          <w:szCs w:val="32"/>
          <w:lang w:val="en-US"/>
        </w:rPr>
        <w:t>2025</w:t>
      </w:r>
      <w:r>
        <w:rPr>
          <w:rFonts w:hint="eastAsia" w:ascii="黑体" w:hAnsi="ˎ̥" w:eastAsia="黑体"/>
          <w:sz w:val="32"/>
          <w:szCs w:val="32"/>
        </w:rPr>
        <w:t>年度部门决算情况说明</w:t>
      </w:r>
      <w:bookmarkEnd w:id="73"/>
      <w:bookmarkEnd w:id="74"/>
      <w:bookmarkEnd w:id="75"/>
      <w:bookmarkEnd w:id="76"/>
      <w:bookmarkEnd w:id="77"/>
      <w:bookmarkEnd w:id="78"/>
    </w:p>
    <w:p>
      <w:pPr>
        <w:spacing w:line="578" w:lineRule="exact"/>
        <w:jc w:val="center"/>
        <w:rPr>
          <w:rFonts w:hint="eastAsia" w:ascii="黑体" w:hAnsi="ˎ̥" w:eastAsia="黑体"/>
          <w:sz w:val="32"/>
          <w:szCs w:val="32"/>
        </w:rPr>
      </w:pPr>
    </w:p>
    <w:p>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收入支出总体情况说明</w:t>
      </w:r>
    </w:p>
    <w:p>
      <w:pPr>
        <w:spacing w:line="578" w:lineRule="exact"/>
        <w:ind w:firstLine="640" w:firstLineChars="200"/>
        <w:rPr>
          <w:rFonts w:ascii="仿宋_GB2312" w:hAnsi="ˎ̥" w:eastAsia="仿宋_GB2312"/>
          <w:color w:val="000000"/>
          <w:sz w:val="32"/>
          <w:szCs w:val="32"/>
        </w:rPr>
      </w:pPr>
      <w:r>
        <w:rPr>
          <w:rFonts w:hint="eastAsia" w:ascii="仿宋_GB2312" w:eastAsia="仿宋_GB2312"/>
          <w:sz w:val="32"/>
          <w:szCs w:val="32"/>
          <w:lang w:val="en-US" w:eastAsia="zh-CN"/>
        </w:rPr>
        <w:t>2025</w:t>
      </w:r>
      <w:r>
        <w:rPr>
          <w:rFonts w:hint="eastAsia" w:ascii="仿宋_GB2312" w:eastAsia="仿宋_GB2312"/>
          <w:sz w:val="32"/>
          <w:szCs w:val="32"/>
          <w:lang w:eastAsia="zh-CN"/>
        </w:rPr>
        <w:t>年度收入总计</w:t>
      </w:r>
      <w:r>
        <w:rPr>
          <w:rFonts w:hint="eastAsia" w:ascii="仿宋_GB2312" w:eastAsia="仿宋_GB2312"/>
          <w:sz w:val="32"/>
          <w:szCs w:val="32"/>
          <w:lang w:val="en-US" w:eastAsia="zh-CN"/>
        </w:rPr>
        <w:t>86.02</w:t>
      </w:r>
      <w:r>
        <w:rPr>
          <w:rFonts w:hint="eastAsia" w:ascii="仿宋_GB2312" w:eastAsia="仿宋_GB2312"/>
          <w:sz w:val="32"/>
          <w:szCs w:val="32"/>
          <w:lang w:eastAsia="zh-CN"/>
        </w:rPr>
        <w:t>万元，支出总计</w:t>
      </w:r>
      <w:r>
        <w:rPr>
          <w:rFonts w:hint="eastAsia" w:ascii="仿宋_GB2312" w:eastAsia="仿宋_GB2312"/>
          <w:sz w:val="32"/>
          <w:szCs w:val="32"/>
          <w:lang w:val="en-US" w:eastAsia="zh-CN"/>
        </w:rPr>
        <w:t>86.02</w:t>
      </w:r>
      <w:r>
        <w:rPr>
          <w:rFonts w:hint="eastAsia" w:ascii="仿宋_GB2312" w:eastAsia="仿宋_GB2312"/>
          <w:sz w:val="32"/>
          <w:szCs w:val="32"/>
          <w:lang w:eastAsia="zh-CN"/>
        </w:rPr>
        <w:t>万元，与</w:t>
      </w:r>
      <w:r>
        <w:rPr>
          <w:rFonts w:hint="eastAsia" w:ascii="仿宋_GB2312" w:eastAsia="仿宋_GB2312"/>
          <w:sz w:val="32"/>
          <w:szCs w:val="32"/>
          <w:lang w:val="en-US" w:eastAsia="zh-CN"/>
        </w:rPr>
        <w:t>2024</w:t>
      </w:r>
      <w:r>
        <w:rPr>
          <w:rFonts w:hint="eastAsia" w:ascii="仿宋_GB2312" w:eastAsia="仿宋_GB2312"/>
          <w:sz w:val="32"/>
          <w:szCs w:val="32"/>
          <w:lang w:eastAsia="zh-CN"/>
        </w:rPr>
        <w:t>年度相比，收入、支出总计各减少</w:t>
      </w:r>
      <w:r>
        <w:rPr>
          <w:rFonts w:hint="eastAsia" w:ascii="仿宋_GB2312" w:eastAsia="仿宋_GB2312"/>
          <w:sz w:val="32"/>
          <w:szCs w:val="32"/>
          <w:lang w:val="en-US" w:eastAsia="zh-CN"/>
        </w:rPr>
        <w:t>53.17</w:t>
      </w:r>
      <w:r>
        <w:rPr>
          <w:rFonts w:hint="eastAsia" w:ascii="仿宋_GB2312" w:eastAsia="仿宋_GB2312"/>
          <w:sz w:val="32"/>
          <w:szCs w:val="32"/>
          <w:lang w:eastAsia="zh-CN"/>
        </w:rPr>
        <w:t>万元，下降</w:t>
      </w:r>
      <w:r>
        <w:rPr>
          <w:rFonts w:hint="eastAsia" w:ascii="仿宋_GB2312" w:eastAsia="仿宋_GB2312"/>
          <w:sz w:val="32"/>
          <w:szCs w:val="32"/>
          <w:lang w:val="en-US" w:eastAsia="zh-CN"/>
        </w:rPr>
        <w:t>38.20</w:t>
      </w:r>
      <w:r>
        <w:rPr>
          <w:rFonts w:hint="eastAsia" w:ascii="仿宋_GB2312" w:eastAsia="仿宋_GB2312"/>
          <w:sz w:val="32"/>
          <w:szCs w:val="32"/>
          <w:lang w:eastAsia="zh-CN"/>
        </w:rPr>
        <w:t>%。主要原因：一般公共服务支出减少、社会保障和就业支出减少、卫生健康支出减少、住房保障支出减少。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sz w:val="32"/>
          <w:szCs w:val="32"/>
        </w:rPr>
      </w:pPr>
      <w:r>
        <w:rPr>
          <w:rFonts w:hint="eastAsia" w:ascii="楷体" w:hAnsi="楷体" w:eastAsia="楷体" w:cs="楷体"/>
          <w:sz w:val="32"/>
          <w:szCs w:val="32"/>
        </w:rPr>
        <w:t>（一</w:t>
      </w:r>
      <w:r>
        <w:rPr>
          <w:rFonts w:ascii="楷体" w:hAnsi="楷体" w:eastAsia="楷体" w:cs="楷体"/>
          <w:sz w:val="32"/>
          <w:szCs w:val="32"/>
        </w:rPr>
        <w:t>）</w:t>
      </w:r>
      <w:r>
        <w:rPr>
          <w:rFonts w:hint="eastAsia" w:ascii="楷体" w:hAnsi="楷体" w:eastAsia="楷体" w:cs="楷体"/>
          <w:sz w:val="32"/>
          <w:szCs w:val="32"/>
        </w:rPr>
        <w:t>收入</w:t>
      </w:r>
      <w:r>
        <w:rPr>
          <w:rFonts w:ascii="楷体" w:hAnsi="楷体" w:eastAsia="楷体" w:cs="楷体"/>
          <w:sz w:val="32"/>
          <w:szCs w:val="32"/>
        </w:rPr>
        <w:t>总计</w:t>
      </w:r>
      <w:r>
        <w:rPr>
          <w:rFonts w:hint="eastAsia" w:ascii="楷体" w:hAnsi="楷体" w:eastAsia="楷体" w:cs="楷体"/>
          <w:sz w:val="32"/>
          <w:szCs w:val="32"/>
        </w:rPr>
        <w:t>主要</w:t>
      </w:r>
      <w:r>
        <w:rPr>
          <w:rFonts w:ascii="楷体" w:hAnsi="楷体" w:eastAsia="楷体" w:cs="楷体"/>
          <w:sz w:val="32"/>
          <w:szCs w:val="32"/>
        </w:rPr>
        <w:t>构成</w:t>
      </w:r>
    </w:p>
    <w:p>
      <w:pPr>
        <w:spacing w:line="578"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本年收入</w:t>
      </w:r>
      <w:r>
        <w:rPr>
          <w:rFonts w:hint="eastAsia" w:ascii="仿宋_GB2312" w:eastAsia="仿宋_GB2312"/>
          <w:sz w:val="32"/>
          <w:szCs w:val="32"/>
          <w:lang w:val="en-US" w:eastAsia="zh-CN"/>
        </w:rPr>
        <w:t>85.02</w:t>
      </w:r>
      <w:r>
        <w:rPr>
          <w:rFonts w:hint="eastAsia" w:ascii="仿宋_GB2312" w:eastAsia="仿宋_GB2312"/>
          <w:sz w:val="32"/>
          <w:szCs w:val="32"/>
          <w:lang w:eastAsia="zh-CN"/>
        </w:rPr>
        <w:t>万元。</w:t>
      </w:r>
    </w:p>
    <w:p>
      <w:pPr>
        <w:spacing w:line="578"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使用非财政拨款结余</w:t>
      </w:r>
      <w:r>
        <w:rPr>
          <w:rFonts w:hint="eastAsia" w:ascii="仿宋_GB2312" w:eastAsia="仿宋_GB2312"/>
          <w:sz w:val="32"/>
          <w:szCs w:val="32"/>
          <w:lang w:val="en-US" w:eastAsia="zh-CN"/>
        </w:rPr>
        <w:t>1</w:t>
      </w:r>
      <w:r>
        <w:rPr>
          <w:rFonts w:hint="eastAsia" w:ascii="仿宋_GB2312" w:eastAsia="仿宋_GB2312"/>
          <w:sz w:val="32"/>
          <w:szCs w:val="32"/>
          <w:lang w:eastAsia="zh-CN"/>
        </w:rPr>
        <w:t>万元，较</w:t>
      </w:r>
      <w:r>
        <w:rPr>
          <w:rFonts w:hint="eastAsia" w:ascii="仿宋_GB2312" w:eastAsia="仿宋_GB2312"/>
          <w:sz w:val="32"/>
          <w:szCs w:val="32"/>
          <w:lang w:val="en-US" w:eastAsia="zh-CN"/>
        </w:rPr>
        <w:t>2024</w:t>
      </w:r>
      <w:r>
        <w:rPr>
          <w:rFonts w:hint="eastAsia" w:ascii="仿宋_GB2312" w:eastAsia="仿宋_GB2312"/>
          <w:sz w:val="32"/>
          <w:szCs w:val="32"/>
          <w:lang w:eastAsia="zh-CN"/>
        </w:rPr>
        <w:t>年度决算数增加</w:t>
      </w:r>
      <w:r>
        <w:rPr>
          <w:rFonts w:hint="eastAsia" w:ascii="仿宋_GB2312" w:eastAsia="仿宋_GB2312"/>
          <w:sz w:val="32"/>
          <w:szCs w:val="32"/>
          <w:lang w:val="en-US" w:eastAsia="zh-CN"/>
        </w:rPr>
        <w:t>1</w:t>
      </w:r>
      <w:r>
        <w:rPr>
          <w:rFonts w:hint="eastAsia" w:ascii="仿宋_GB2312" w:eastAsia="仿宋_GB2312"/>
          <w:sz w:val="32"/>
          <w:szCs w:val="32"/>
          <w:lang w:eastAsia="zh-CN"/>
        </w:rPr>
        <w:t>万元，主要原因是上缴非财政拨款结余。</w:t>
      </w:r>
    </w:p>
    <w:p>
      <w:pPr>
        <w:spacing w:line="578"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年初结转结余</w:t>
      </w:r>
      <w:r>
        <w:rPr>
          <w:rFonts w:hint="default" w:ascii="仿宋_GB2312" w:eastAsia="仿宋_GB2312"/>
          <w:sz w:val="32"/>
          <w:szCs w:val="32"/>
          <w:lang w:val="en-US" w:eastAsia="zh-CN"/>
        </w:rPr>
        <w:t>0</w:t>
      </w:r>
      <w:r>
        <w:rPr>
          <w:rFonts w:hint="eastAsia" w:ascii="仿宋_GB2312" w:eastAsia="仿宋_GB2312"/>
          <w:sz w:val="32"/>
          <w:szCs w:val="32"/>
          <w:lang w:eastAsia="zh-CN"/>
        </w:rPr>
        <w:t>万元，主要是无年初结转结余，与202</w:t>
      </w:r>
      <w:r>
        <w:rPr>
          <w:rFonts w:hint="eastAsia" w:ascii="仿宋_GB2312" w:eastAsia="仿宋_GB2312"/>
          <w:sz w:val="32"/>
          <w:szCs w:val="32"/>
          <w:lang w:val="en-US" w:eastAsia="zh-CN"/>
        </w:rPr>
        <w:t>4</w:t>
      </w:r>
      <w:r>
        <w:rPr>
          <w:rFonts w:hint="eastAsia" w:ascii="仿宋_GB2312" w:eastAsia="仿宋_GB2312"/>
          <w:sz w:val="32"/>
          <w:szCs w:val="32"/>
          <w:lang w:eastAsia="zh-CN"/>
        </w:rPr>
        <w:t>年度决算数持平，主要原因是无年初结转结余。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rPr>
        <w:t>（二</w:t>
      </w:r>
      <w:r>
        <w:rPr>
          <w:rFonts w:ascii="楷体" w:hAnsi="楷体" w:eastAsia="楷体" w:cs="楷体"/>
          <w:sz w:val="32"/>
          <w:szCs w:val="32"/>
        </w:rPr>
        <w:t>）</w:t>
      </w:r>
      <w:r>
        <w:rPr>
          <w:rFonts w:hint="eastAsia" w:ascii="楷体" w:hAnsi="楷体" w:eastAsia="楷体" w:cs="楷体"/>
          <w:sz w:val="32"/>
          <w:szCs w:val="32"/>
        </w:rPr>
        <w:t>支出</w:t>
      </w:r>
      <w:r>
        <w:rPr>
          <w:rFonts w:ascii="楷体" w:hAnsi="楷体" w:eastAsia="楷体" w:cs="楷体"/>
          <w:sz w:val="32"/>
          <w:szCs w:val="32"/>
        </w:rPr>
        <w:t>总计</w:t>
      </w:r>
      <w:r>
        <w:rPr>
          <w:rFonts w:hint="eastAsia" w:ascii="楷体" w:hAnsi="楷体" w:eastAsia="楷体" w:cs="楷体"/>
          <w:sz w:val="32"/>
          <w:szCs w:val="32"/>
        </w:rPr>
        <w:t>主要</w:t>
      </w:r>
      <w:r>
        <w:rPr>
          <w:rFonts w:ascii="楷体" w:hAnsi="楷体" w:eastAsia="楷体" w:cs="楷体"/>
          <w:sz w:val="32"/>
          <w:szCs w:val="32"/>
        </w:rPr>
        <w:t>构成</w:t>
      </w:r>
    </w:p>
    <w:p>
      <w:pPr>
        <w:spacing w:line="578"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本年支出</w:t>
      </w:r>
      <w:r>
        <w:rPr>
          <w:rFonts w:hint="eastAsia" w:ascii="仿宋_GB2312" w:eastAsia="仿宋_GB2312"/>
          <w:sz w:val="32"/>
          <w:szCs w:val="32"/>
          <w:lang w:val="en-US" w:eastAsia="zh-CN"/>
        </w:rPr>
        <w:t>86.02</w:t>
      </w:r>
      <w:r>
        <w:rPr>
          <w:rFonts w:hint="eastAsia" w:ascii="仿宋_GB2312" w:eastAsia="仿宋_GB2312"/>
          <w:sz w:val="32"/>
          <w:szCs w:val="32"/>
          <w:lang w:eastAsia="zh-CN"/>
        </w:rPr>
        <w:t>万元。</w:t>
      </w:r>
    </w:p>
    <w:p>
      <w:pPr>
        <w:spacing w:line="578"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结余分配</w:t>
      </w:r>
      <w:r>
        <w:rPr>
          <w:rFonts w:hint="default" w:ascii="仿宋_GB2312" w:eastAsia="仿宋_GB2312"/>
          <w:sz w:val="32"/>
          <w:szCs w:val="32"/>
          <w:lang w:val="en-US" w:eastAsia="zh-CN"/>
        </w:rPr>
        <w:t>0</w:t>
      </w:r>
      <w:r>
        <w:rPr>
          <w:rFonts w:hint="eastAsia" w:ascii="仿宋_GB2312" w:eastAsia="仿宋_GB2312"/>
          <w:sz w:val="32"/>
          <w:szCs w:val="32"/>
          <w:lang w:eastAsia="zh-CN"/>
        </w:rPr>
        <w:t>万元，主要是无结余分配，与202</w:t>
      </w:r>
      <w:r>
        <w:rPr>
          <w:rFonts w:hint="eastAsia" w:ascii="仿宋_GB2312" w:eastAsia="仿宋_GB2312"/>
          <w:sz w:val="32"/>
          <w:szCs w:val="32"/>
          <w:lang w:val="en-US" w:eastAsia="zh-CN"/>
        </w:rPr>
        <w:t>4</w:t>
      </w:r>
      <w:r>
        <w:rPr>
          <w:rFonts w:hint="eastAsia" w:ascii="仿宋_GB2312" w:eastAsia="仿宋_GB2312"/>
          <w:sz w:val="32"/>
          <w:szCs w:val="32"/>
          <w:lang w:eastAsia="zh-CN"/>
        </w:rPr>
        <w:t>年度决算数持平，主要原因是无结余分配。</w:t>
      </w:r>
    </w:p>
    <w:p>
      <w:pPr>
        <w:spacing w:line="578"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年末结转结余</w:t>
      </w:r>
      <w:r>
        <w:rPr>
          <w:rFonts w:hint="default" w:ascii="仿宋_GB2312" w:eastAsia="仿宋_GB2312"/>
          <w:sz w:val="32"/>
          <w:szCs w:val="32"/>
          <w:lang w:val="en-US" w:eastAsia="zh-CN"/>
        </w:rPr>
        <w:t>0</w:t>
      </w:r>
      <w:r>
        <w:rPr>
          <w:rFonts w:hint="eastAsia" w:ascii="仿宋_GB2312" w:eastAsia="仿宋_GB2312"/>
          <w:sz w:val="32"/>
          <w:szCs w:val="32"/>
          <w:lang w:eastAsia="zh-CN"/>
        </w:rPr>
        <w:t>万元，主要是无基本支出结转结余，与202</w:t>
      </w:r>
      <w:r>
        <w:rPr>
          <w:rFonts w:hint="eastAsia" w:ascii="仿宋_GB2312" w:eastAsia="仿宋_GB2312"/>
          <w:sz w:val="32"/>
          <w:szCs w:val="32"/>
          <w:lang w:val="en-US" w:eastAsia="zh-CN"/>
        </w:rPr>
        <w:t>4</w:t>
      </w:r>
      <w:r>
        <w:rPr>
          <w:rFonts w:hint="eastAsia" w:ascii="仿宋_GB2312" w:eastAsia="仿宋_GB2312"/>
          <w:sz w:val="32"/>
          <w:szCs w:val="32"/>
          <w:lang w:eastAsia="zh-CN"/>
        </w:rPr>
        <w:t>年度决算数持平，主要原因是无基本支出结转结余。</w:t>
      </w:r>
    </w:p>
    <w:p>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left="0" w:lef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收入决算情况说明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000000"/>
          <w:sz w:val="32"/>
          <w:szCs w:val="32"/>
        </w:rPr>
      </w:pPr>
      <w:r>
        <w:rPr>
          <w:rFonts w:hint="eastAsia" w:ascii="仿宋_GB2312" w:eastAsia="仿宋_GB2312"/>
          <w:sz w:val="32"/>
          <w:szCs w:val="32"/>
          <w:lang w:val="en-US" w:eastAsia="zh-CN"/>
        </w:rPr>
        <w:t>本年收入85.02万元，其中：财政拨款收入85.02万元，占100%；上级补助收入</w:t>
      </w:r>
      <w:r>
        <w:rPr>
          <w:rFonts w:hint="default" w:ascii="仿宋_GB2312" w:eastAsia="仿宋_GB2312"/>
          <w:sz w:val="32"/>
          <w:szCs w:val="32"/>
          <w:lang w:val="en-US" w:eastAsia="zh-CN"/>
        </w:rPr>
        <w:t>0</w:t>
      </w:r>
      <w:r>
        <w:rPr>
          <w:rFonts w:hint="eastAsia" w:ascii="仿宋_GB2312" w:eastAsia="仿宋_GB2312"/>
          <w:sz w:val="32"/>
          <w:szCs w:val="32"/>
          <w:lang w:val="en-US" w:eastAsia="zh-CN"/>
        </w:rPr>
        <w:t>万元，占0%；事业收入</w:t>
      </w:r>
      <w:r>
        <w:rPr>
          <w:rFonts w:hint="default" w:ascii="仿宋_GB2312" w:eastAsia="仿宋_GB2312"/>
          <w:sz w:val="32"/>
          <w:szCs w:val="32"/>
          <w:lang w:val="en-US" w:eastAsia="zh-CN"/>
        </w:rPr>
        <w:t>0</w:t>
      </w:r>
      <w:r>
        <w:rPr>
          <w:rFonts w:hint="eastAsia" w:ascii="仿宋_GB2312" w:eastAsia="仿宋_GB2312"/>
          <w:sz w:val="32"/>
          <w:szCs w:val="32"/>
          <w:lang w:val="en-US" w:eastAsia="zh-CN"/>
        </w:rPr>
        <w:t>万元，占0%；经营收入</w:t>
      </w:r>
      <w:r>
        <w:rPr>
          <w:rFonts w:hint="default" w:ascii="仿宋_GB2312" w:eastAsia="仿宋_GB2312"/>
          <w:sz w:val="32"/>
          <w:szCs w:val="32"/>
          <w:lang w:val="en-US" w:eastAsia="zh-CN"/>
        </w:rPr>
        <w:t>0</w:t>
      </w:r>
      <w:r>
        <w:rPr>
          <w:rFonts w:hint="eastAsia" w:ascii="仿宋_GB2312" w:eastAsia="仿宋_GB2312"/>
          <w:sz w:val="32"/>
          <w:szCs w:val="32"/>
          <w:lang w:val="en-US" w:eastAsia="zh-CN"/>
        </w:rPr>
        <w:t>万元，占0%；附属单位上缴收入</w:t>
      </w:r>
      <w:r>
        <w:rPr>
          <w:rFonts w:hint="default" w:ascii="仿宋_GB2312" w:eastAsia="仿宋_GB2312"/>
          <w:sz w:val="32"/>
          <w:szCs w:val="32"/>
          <w:lang w:val="en-US" w:eastAsia="zh-CN"/>
        </w:rPr>
        <w:t>0</w:t>
      </w:r>
      <w:r>
        <w:rPr>
          <w:rFonts w:hint="eastAsia" w:ascii="仿宋_GB2312" w:eastAsia="仿宋_GB2312"/>
          <w:sz w:val="32"/>
          <w:szCs w:val="32"/>
          <w:lang w:val="en-US" w:eastAsia="zh-CN"/>
        </w:rPr>
        <w:t>万元，占0%；其他收入</w:t>
      </w:r>
      <w:r>
        <w:rPr>
          <w:rFonts w:hint="default" w:ascii="仿宋_GB2312" w:eastAsia="仿宋_GB2312"/>
          <w:sz w:val="32"/>
          <w:szCs w:val="32"/>
          <w:lang w:val="en-US" w:eastAsia="zh-CN"/>
        </w:rPr>
        <w:t>0</w:t>
      </w:r>
      <w:r>
        <w:rPr>
          <w:rFonts w:hint="eastAsia" w:ascii="仿宋_GB2312" w:eastAsia="仿宋_GB2312"/>
          <w:sz w:val="32"/>
          <w:szCs w:val="32"/>
          <w:lang w:val="en-US" w:eastAsia="zh-CN"/>
        </w:rPr>
        <w:t>万元，占0%。</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三、支出决算情况说明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本年支出86.02万元，其中：基本支出84.52万元，占98.26%；项目支出1.51万元，占1.74%；上缴上级支出0.00万元，占0%；经营支出0.00万元，占0%；对附属单位补助支出0.00万元，占0%。</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四、财政拨款收入支出决算总体情况说明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2025年度财政拨款收入85.02万元，支出85.02万元。与2024年度相比，财政拨款收入减少54.17万元，下降38.92%，主要原因：一般公共预算减少。支出减少54.17万元，下降38.92%，主要原因：一般公共预算减少。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财政拨款年初结转结余0万元，主要是无年初结转结余，与2024年度决算数持平，主要原因是无年初结转结余。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000000"/>
          <w:sz w:val="32"/>
          <w:szCs w:val="32"/>
        </w:rPr>
      </w:pPr>
      <w:r>
        <w:rPr>
          <w:rFonts w:hint="eastAsia" w:ascii="仿宋_GB2312" w:eastAsia="仿宋_GB2312"/>
          <w:sz w:val="32"/>
          <w:szCs w:val="32"/>
          <w:lang w:val="en-US" w:eastAsia="zh-CN"/>
        </w:rPr>
        <w:t>财政拨款年末结转结余0万元，主要是无基本支出结转结余，与2024年度决算数持平，主要原因是无基本支出结转结余。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79" w:name="_Toc21737_WPSOffice_Level2"/>
      <w:bookmarkStart w:id="80" w:name="_Toc13694_WPSOffice_Level2"/>
      <w:bookmarkStart w:id="81" w:name="_Toc17398_WPSOffice_Level2"/>
      <w:bookmarkStart w:id="82" w:name="_Toc19665_WPSOffice_Level2"/>
      <w:bookmarkStart w:id="83" w:name="_Toc23005_WPSOffice_Level2"/>
      <w:bookmarkStart w:id="84" w:name="_Toc9989_WPSOffice_Level2"/>
      <w:r>
        <w:rPr>
          <w:rFonts w:hint="eastAsia" w:ascii="楷体" w:hAnsi="楷体" w:eastAsia="楷体" w:cs="楷体"/>
          <w:sz w:val="32"/>
          <w:szCs w:val="32"/>
        </w:rPr>
        <w:t>（一）一般公共预算财政拨款支出决算总体情况</w:t>
      </w:r>
      <w:bookmarkEnd w:id="79"/>
      <w:bookmarkEnd w:id="80"/>
      <w:bookmarkEnd w:id="81"/>
      <w:bookmarkEnd w:id="82"/>
      <w:bookmarkEnd w:id="83"/>
      <w:bookmarkEnd w:id="84"/>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2025年度一般公共预算财政拨款支出85.02万元，占本年支出合计的100%。与2024年度相比，一般公共预算财政拨款支出减少54.17万元，下降38.92%，主要原因是一般公共预算减少。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85" w:name="_Toc18793_WPSOffice_Level2"/>
      <w:bookmarkStart w:id="86" w:name="_Toc27767_WPSOffice_Level2"/>
      <w:bookmarkStart w:id="87" w:name="_Toc23864_WPSOffice_Level2"/>
      <w:bookmarkStart w:id="88" w:name="_Toc19075_WPSOffice_Level2"/>
      <w:bookmarkStart w:id="89" w:name="_Toc2711_WPSOffice_Level2"/>
      <w:bookmarkStart w:id="90" w:name="_Toc19535_WPSOffice_Level2"/>
      <w:r>
        <w:rPr>
          <w:rFonts w:hint="eastAsia" w:ascii="楷体" w:hAnsi="楷体" w:eastAsia="楷体" w:cs="楷体"/>
          <w:sz w:val="32"/>
          <w:szCs w:val="32"/>
        </w:rPr>
        <w:t>（二）一般公共预算财政拨款支出决算结构情况</w:t>
      </w:r>
      <w:bookmarkEnd w:id="85"/>
      <w:bookmarkEnd w:id="86"/>
      <w:bookmarkEnd w:id="87"/>
      <w:bookmarkEnd w:id="88"/>
      <w:bookmarkEnd w:id="89"/>
      <w:bookmarkEnd w:id="90"/>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2025年度一般公共预算财政拨款支出85.02万元，主要用于以下方面：</w:t>
      </w:r>
      <w:r>
        <w:rPr>
          <w:rFonts w:hint="eastAsia" w:ascii="仿宋" w:hAnsi="仿宋" w:eastAsia="仿宋" w:cs="仿宋"/>
          <w:b/>
          <w:sz w:val="32"/>
          <w:szCs w:val="32"/>
        </w:rPr>
        <w:t>一般公共服务（类）</w:t>
      </w:r>
      <w:r>
        <w:rPr>
          <w:rFonts w:hint="eastAsia" w:ascii="仿宋_GB2312" w:eastAsia="仿宋_GB2312"/>
          <w:sz w:val="32"/>
          <w:szCs w:val="32"/>
          <w:lang w:val="en-US" w:eastAsia="zh-CN"/>
        </w:rPr>
        <w:t>支出60.30万元，占70.92%；</w:t>
      </w:r>
      <w:r>
        <w:rPr>
          <w:rFonts w:hint="eastAsia" w:ascii="仿宋" w:hAnsi="仿宋" w:eastAsia="仿宋" w:cs="仿宋"/>
          <w:b/>
          <w:color w:val="auto"/>
          <w:sz w:val="32"/>
          <w:szCs w:val="32"/>
        </w:rPr>
        <w:t>社会保障和就业（类）</w:t>
      </w:r>
      <w:r>
        <w:rPr>
          <w:rFonts w:hint="eastAsia" w:ascii="仿宋_GB2312" w:eastAsia="仿宋_GB2312"/>
          <w:sz w:val="32"/>
          <w:szCs w:val="32"/>
          <w:lang w:val="en-US" w:eastAsia="zh-CN"/>
        </w:rPr>
        <w:t>支出9.88万元，占11.62%；</w:t>
      </w:r>
      <w:r>
        <w:rPr>
          <w:rFonts w:hint="eastAsia" w:ascii="仿宋_GB2312" w:hAnsi="ˎ̥" w:eastAsia="仿宋_GB2312"/>
          <w:b/>
          <w:color w:val="auto"/>
          <w:sz w:val="32"/>
          <w:szCs w:val="32"/>
        </w:rPr>
        <w:t>卫生健康（类）</w:t>
      </w:r>
      <w:r>
        <w:rPr>
          <w:rFonts w:hint="eastAsia" w:ascii="仿宋_GB2312" w:eastAsia="仿宋_GB2312"/>
          <w:sz w:val="32"/>
          <w:szCs w:val="32"/>
          <w:lang w:val="en-US" w:eastAsia="zh-CN"/>
        </w:rPr>
        <w:t>支出9.87万元，占11.61%；</w:t>
      </w:r>
      <w:r>
        <w:rPr>
          <w:rFonts w:hint="eastAsia" w:ascii="仿宋" w:hAnsi="仿宋" w:eastAsia="仿宋" w:cs="仿宋"/>
          <w:b/>
          <w:bCs/>
          <w:color w:val="auto"/>
          <w:sz w:val="32"/>
          <w:szCs w:val="32"/>
        </w:rPr>
        <w:t>住房保障（类）</w:t>
      </w:r>
      <w:r>
        <w:rPr>
          <w:rFonts w:hint="eastAsia" w:ascii="仿宋_GB2312" w:eastAsia="仿宋_GB2312"/>
          <w:sz w:val="32"/>
          <w:szCs w:val="32"/>
          <w:lang w:val="en-US" w:eastAsia="zh-CN"/>
        </w:rPr>
        <w:t>支出5.97万元，占5.85%。</w:t>
      </w:r>
      <w:bookmarkStart w:id="91" w:name="_Toc22318_WPSOffice_Level2"/>
      <w:bookmarkStart w:id="92" w:name="_Toc9502_WPSOffice_Level2"/>
      <w:bookmarkStart w:id="93" w:name="_Toc25136_WPSOffice_Level2"/>
      <w:bookmarkStart w:id="94" w:name="_Toc21701_WPSOffice_Level2"/>
      <w:bookmarkStart w:id="95" w:name="_Toc29364_WPSOffice_Level2"/>
      <w:bookmarkStart w:id="96" w:name="_Toc15415_WPSOffice_Level2"/>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（三）一般公共预算财政拨款支出决算具体情况</w:t>
      </w:r>
      <w:bookmarkEnd w:id="91"/>
      <w:bookmarkEnd w:id="92"/>
      <w:bookmarkEnd w:id="93"/>
      <w:bookmarkEnd w:id="94"/>
      <w:bookmarkEnd w:id="95"/>
      <w:bookmarkEnd w:id="96"/>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2025年度一般公共预算财政拨款支出年初预算为151万元，支出决算为85.02万元，完成年初预算的56.30%。其中：</w:t>
      </w:r>
    </w:p>
    <w:p>
      <w:pPr>
        <w:spacing w:line="578" w:lineRule="exact"/>
        <w:ind w:firstLine="640" w:firstLineChars="200"/>
        <w:rPr>
          <w:rFonts w:hint="eastAsia" w:ascii="仿宋_GB2312" w:hAnsi="ˎ̥" w:eastAsia="仿宋_GB2312"/>
          <w:b/>
          <w:color w:val="000000"/>
          <w:sz w:val="32"/>
          <w:szCs w:val="32"/>
        </w:rPr>
      </w:pPr>
      <w:r>
        <w:rPr>
          <w:rFonts w:hint="eastAsia" w:ascii="仿宋_GB2312" w:hAnsi="ˎ̥" w:eastAsia="仿宋_GB2312"/>
          <w:color w:val="000000"/>
          <w:sz w:val="32"/>
          <w:szCs w:val="32"/>
        </w:rPr>
        <w:t>1.</w:t>
      </w:r>
      <w:r>
        <w:rPr>
          <w:rFonts w:hint="eastAsia" w:ascii="仿宋_GB2312" w:hAnsi="ˎ̥" w:eastAsia="仿宋_GB2312"/>
          <w:b/>
          <w:color w:val="000000"/>
          <w:sz w:val="32"/>
          <w:szCs w:val="32"/>
        </w:rPr>
        <w:t>一般公共服务（类）财政事务（款）行政运行（项）。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年初预算为100.53万元，支出决算为57.79万元，完成年初预算的57.49%。决算数小于预算数的主要原因：财政所机构改革，由财政局统一管理，不再作为独立的预算单位，将资金调剂给财政局。</w:t>
      </w:r>
    </w:p>
    <w:p>
      <w:pPr>
        <w:spacing w:line="578" w:lineRule="exact"/>
        <w:ind w:firstLine="640" w:firstLineChars="200"/>
        <w:rPr>
          <w:rFonts w:hint="eastAsia" w:ascii="仿宋_GB2312" w:hAnsi="ˎ̥" w:eastAsia="仿宋_GB2312"/>
          <w:b/>
          <w:color w:val="000000"/>
          <w:sz w:val="32"/>
          <w:szCs w:val="32"/>
        </w:rPr>
      </w:pPr>
      <w:r>
        <w:rPr>
          <w:rFonts w:hint="eastAsia" w:ascii="仿宋_GB2312" w:hAnsi="ˎ̥" w:eastAsia="仿宋_GB2312"/>
          <w:color w:val="000000"/>
          <w:sz w:val="32"/>
          <w:szCs w:val="32"/>
        </w:rPr>
        <w:t>2.</w:t>
      </w:r>
      <w:r>
        <w:rPr>
          <w:rFonts w:hint="eastAsia" w:ascii="仿宋_GB2312" w:hAnsi="ˎ̥" w:eastAsia="仿宋_GB2312"/>
          <w:b/>
          <w:color w:val="000000"/>
          <w:sz w:val="32"/>
          <w:szCs w:val="32"/>
        </w:rPr>
        <w:t>一般公共服务（类）财政事务（款）其他财政事务支出（项）。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年初预算为5.91万元，支出决算为1.51万元，完成年初预算的25.55%。决算数小于预算数的主要原因：财政所机构改革，由财政局统一管理，不再作为独立的预算单位，将资金调剂给财政局。</w:t>
      </w:r>
    </w:p>
    <w:p>
      <w:pPr>
        <w:spacing w:line="578" w:lineRule="exact"/>
        <w:ind w:firstLine="640" w:firstLineChars="200"/>
        <w:rPr>
          <w:rFonts w:hint="eastAsia" w:ascii="仿宋_GB2312" w:hAnsi="ˎ̥" w:eastAsia="仿宋_GB2312"/>
          <w:b/>
          <w:color w:val="000000"/>
          <w:sz w:val="32"/>
          <w:szCs w:val="32"/>
        </w:rPr>
      </w:pPr>
      <w:r>
        <w:rPr>
          <w:rFonts w:hint="eastAsia" w:ascii="仿宋_GB2312" w:hAnsi="ˎ̥" w:eastAsia="仿宋_GB2312"/>
          <w:bCs/>
          <w:color w:val="000000"/>
          <w:sz w:val="32"/>
          <w:szCs w:val="32"/>
        </w:rPr>
        <w:t>3.</w:t>
      </w:r>
      <w:r>
        <w:rPr>
          <w:rFonts w:hint="eastAsia" w:ascii="仿宋_GB2312" w:hAnsi="ˎ̥" w:eastAsia="仿宋_GB2312"/>
          <w:b/>
          <w:color w:val="000000"/>
          <w:sz w:val="32"/>
          <w:szCs w:val="32"/>
        </w:rPr>
        <w:t>社会保障和就业（类）行政事业单位养老支出（款）机关事业单位基本养老保险缴费支出（项）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年初预算为10.80万元，支出决算为6.58万元，完成年初预算的60.93%。决算数小于预算数的主要原因：本年度有2位职工申请提前退休。</w:t>
      </w:r>
    </w:p>
    <w:p>
      <w:pPr>
        <w:spacing w:line="578" w:lineRule="exact"/>
        <w:ind w:firstLine="640" w:firstLineChars="200"/>
        <w:rPr>
          <w:rFonts w:hint="eastAsia" w:ascii="仿宋_GB2312" w:hAnsi="ˎ̥" w:eastAsia="仿宋_GB2312"/>
          <w:color w:val="000000"/>
          <w:sz w:val="32"/>
          <w:szCs w:val="32"/>
        </w:rPr>
      </w:pPr>
      <w:r>
        <w:rPr>
          <w:rFonts w:hint="eastAsia" w:ascii="仿宋_GB2312" w:hAnsi="ˎ̥" w:eastAsia="仿宋_GB2312"/>
          <w:color w:val="000000"/>
          <w:sz w:val="32"/>
          <w:szCs w:val="32"/>
        </w:rPr>
        <w:t>4.</w:t>
      </w:r>
      <w:r>
        <w:rPr>
          <w:rFonts w:hint="eastAsia" w:ascii="仿宋_GB2312" w:hAnsi="ˎ̥" w:eastAsia="仿宋_GB2312"/>
          <w:b/>
          <w:color w:val="000000"/>
          <w:sz w:val="32"/>
          <w:szCs w:val="32"/>
        </w:rPr>
        <w:t>社会保障和就业（类）行政事业单位养老支出（款）机关事业单位职业年金缴费支出（项）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年初预算为5.40万元，支出决算为3.29万元，完成年初预算的60.93%。决算数小于预算数的主要原因：本年度有2位职工申请提前退休。</w:t>
      </w:r>
    </w:p>
    <w:p>
      <w:pPr>
        <w:spacing w:line="578" w:lineRule="exact"/>
        <w:ind w:firstLine="640" w:firstLineChars="200"/>
        <w:rPr>
          <w:rFonts w:hint="eastAsia" w:ascii="仿宋_GB2312" w:hAnsi="ˎ̥" w:eastAsia="仿宋_GB2312"/>
          <w:color w:val="000000"/>
          <w:sz w:val="32"/>
          <w:szCs w:val="32"/>
        </w:rPr>
      </w:pPr>
      <w:r>
        <w:rPr>
          <w:rFonts w:hint="eastAsia" w:ascii="仿宋_GB2312" w:hAnsi="ˎ̥" w:eastAsia="仿宋_GB2312"/>
          <w:color w:val="000000"/>
          <w:sz w:val="32"/>
          <w:szCs w:val="32"/>
        </w:rPr>
        <w:t>5.</w:t>
      </w:r>
      <w:r>
        <w:rPr>
          <w:rFonts w:hint="eastAsia" w:ascii="仿宋_GB2312" w:hAnsi="ˎ̥" w:eastAsia="仿宋_GB2312"/>
          <w:b/>
          <w:color w:val="000000"/>
          <w:sz w:val="32"/>
          <w:szCs w:val="32"/>
        </w:rPr>
        <w:t>卫生健康（类）行政事业单位医疗（款）行政单位医疗（项）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年初预算为3.89万元，支出决算为2.45万元，完成年初预算的62.98%。决算数小于预算数的主要原因：本年度有2位职工申请提前退休。</w:t>
      </w:r>
    </w:p>
    <w:p>
      <w:pPr>
        <w:spacing w:line="578" w:lineRule="exact"/>
        <w:ind w:firstLine="640" w:firstLineChars="200"/>
        <w:rPr>
          <w:rFonts w:hint="eastAsia" w:ascii="仿宋_GB2312" w:hAnsi="ˎ̥" w:eastAsia="仿宋_GB2312"/>
          <w:color w:val="000000"/>
          <w:sz w:val="32"/>
          <w:szCs w:val="32"/>
        </w:rPr>
      </w:pPr>
      <w:r>
        <w:rPr>
          <w:rFonts w:hint="eastAsia" w:ascii="仿宋_GB2312" w:hAnsi="ˎ̥" w:eastAsia="仿宋_GB2312"/>
          <w:color w:val="000000"/>
          <w:sz w:val="32"/>
          <w:szCs w:val="32"/>
        </w:rPr>
        <w:t>6.</w:t>
      </w:r>
      <w:r>
        <w:rPr>
          <w:rFonts w:hint="eastAsia" w:ascii="仿宋_GB2312" w:hAnsi="ˎ̥" w:eastAsia="仿宋_GB2312"/>
          <w:b/>
          <w:color w:val="000000"/>
          <w:sz w:val="32"/>
          <w:szCs w:val="32"/>
        </w:rPr>
        <w:t>卫生健康（类）行政事业单位医疗（款）公务员医疗补助（项）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年初预算为11.06万元，支出决算为7.42万元，完成年初预算的67.09%。决算数小于预算数的主要原因：本年度有2位职工申请提前退休。</w:t>
      </w:r>
    </w:p>
    <w:p>
      <w:pPr>
        <w:spacing w:line="578" w:lineRule="exact"/>
        <w:ind w:firstLine="640" w:firstLineChars="200"/>
        <w:rPr>
          <w:rFonts w:hint="eastAsia" w:ascii="仿宋_GB2312" w:hAnsi="ˎ̥" w:eastAsia="仿宋_GB2312"/>
          <w:color w:val="000000"/>
          <w:sz w:val="32"/>
          <w:szCs w:val="32"/>
        </w:rPr>
      </w:pPr>
      <w:r>
        <w:rPr>
          <w:rFonts w:hint="eastAsia" w:ascii="仿宋_GB2312" w:hAnsi="ˎ̥" w:eastAsia="仿宋_GB2312"/>
          <w:color w:val="000000"/>
          <w:sz w:val="32"/>
          <w:szCs w:val="32"/>
        </w:rPr>
        <w:t>7.</w:t>
      </w:r>
      <w:r>
        <w:rPr>
          <w:rFonts w:hint="eastAsia" w:ascii="仿宋_GB2312" w:hAnsi="ˎ̥" w:eastAsia="仿宋_GB2312"/>
          <w:b/>
          <w:color w:val="000000"/>
          <w:sz w:val="32"/>
          <w:szCs w:val="32"/>
        </w:rPr>
        <w:t>住房保障（类）住房改革支出（款）住房公积金（项）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年初预算为10.41万元，支出决算为5.98万元，完成年初预算的57.44%。决算数小于预算数的主要原因：本年度有2位职工申请提前退休。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财政拨款基本支出83.51万元，其中：人员经费78.10万元，主要包括：工资福利支出中的基本工资、津贴补贴、奖金、、机关事业单位基本养老保险缴费、职业年金缴费、职工基本医疗保险缴费、公务员医疗补助缴费、其他社会保障缴费、住房公积金。公用经费5.41万元，主要包括：主要包括：商品和服务支出中的办公费、水费、电费、邮电费、差旅费、工会经费、其他交通费用。</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（一）政府性基金预算财政拨款支出决算总体情况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000000"/>
          <w:sz w:val="32"/>
          <w:szCs w:val="32"/>
        </w:rPr>
      </w:pPr>
      <w:r>
        <w:rPr>
          <w:rFonts w:hint="eastAsia" w:ascii="仿宋_GB2312" w:eastAsia="仿宋_GB2312"/>
          <w:sz w:val="32"/>
          <w:szCs w:val="32"/>
          <w:lang w:val="en-US" w:eastAsia="zh-CN"/>
        </w:rPr>
        <w:t>2025年度政府性基金预算财政拨款支出0万元，占本年支出合计的0%。与2024年度政府性基金预算财政拨款支出持平，主要原因是无政府性基金支出。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（二）政府性基金预算财政拨款支出决算结构情况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2025年度政府性基金预算财政拨款支出0万元，无政府性基金支出。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（三）政府性基金预算财政拨款支出决算具体情况</w:t>
      </w:r>
    </w:p>
    <w:p>
      <w:pPr>
        <w:spacing w:line="578" w:lineRule="exact"/>
        <w:ind w:firstLine="640" w:firstLineChars="200"/>
        <w:rPr>
          <w:rFonts w:hint="eastAsia" w:ascii="仿宋_GB2312" w:hAnsi="ˎ̥" w:eastAsia="仿宋_GB2312"/>
          <w:color w:val="000000"/>
          <w:sz w:val="32"/>
          <w:szCs w:val="32"/>
        </w:rPr>
      </w:pPr>
      <w:r>
        <w:rPr>
          <w:rFonts w:ascii="仿宋_GB2312" w:hAnsi="ˎ̥" w:eastAsia="仿宋_GB2312"/>
          <w:color w:val="000000"/>
          <w:sz w:val="32"/>
          <w:szCs w:val="32"/>
        </w:rPr>
        <w:t>202</w:t>
      </w:r>
      <w:r>
        <w:rPr>
          <w:rFonts w:hint="eastAsia" w:ascii="仿宋_GB2312" w:hAnsi="ˎ̥" w:eastAsia="仿宋_GB2312"/>
          <w:color w:val="000000"/>
          <w:sz w:val="32"/>
          <w:szCs w:val="32"/>
        </w:rPr>
        <w:t>5年度政府性基金预算财政拨款支出年初预算为0万元，支出决算为</w:t>
      </w:r>
      <w:r>
        <w:rPr>
          <w:rFonts w:ascii="仿宋_GB2312" w:hAnsi="ˎ̥" w:eastAsia="仿宋_GB2312"/>
          <w:color w:val="000000"/>
          <w:sz w:val="32"/>
          <w:szCs w:val="32"/>
        </w:rPr>
        <w:t>0</w:t>
      </w:r>
      <w:r>
        <w:rPr>
          <w:rFonts w:hint="eastAsia" w:ascii="仿宋_GB2312" w:hAnsi="ˎ̥" w:eastAsia="仿宋_GB2312"/>
          <w:color w:val="000000"/>
          <w:sz w:val="32"/>
          <w:szCs w:val="32"/>
        </w:rPr>
        <w:t>万元，完成年初预算的0%。本年无政府性基金预算，无政府性基金支出。</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spacing w:line="578" w:lineRule="exact"/>
        <w:ind w:firstLine="640" w:firstLineChars="200"/>
        <w:rPr>
          <w:rFonts w:hint="eastAsia" w:ascii="仿宋" w:hAnsi="仿宋" w:eastAsia="仿宋" w:cs="仿宋"/>
          <w:sz w:val="32"/>
          <w:szCs w:val="32"/>
        </w:rPr>
      </w:pPr>
      <w:r>
        <w:rPr>
          <w:rFonts w:ascii="仿宋_GB2312" w:hAnsi="ˎ̥" w:eastAsia="仿宋_GB2312"/>
          <w:color w:val="000000"/>
          <w:sz w:val="32"/>
          <w:szCs w:val="32"/>
        </w:rPr>
        <w:t>202</w:t>
      </w:r>
      <w:r>
        <w:rPr>
          <w:rFonts w:hint="eastAsia" w:ascii="仿宋_GB2312" w:hAnsi="ˎ̥" w:eastAsia="仿宋_GB2312"/>
          <w:color w:val="000000"/>
          <w:sz w:val="32"/>
          <w:szCs w:val="32"/>
        </w:rPr>
        <w:t>5年度国有资本经营预算财政拨款支出</w:t>
      </w:r>
      <w:r>
        <w:rPr>
          <w:rFonts w:ascii="仿宋_GB2312" w:hAnsi="ˎ̥" w:eastAsia="仿宋_GB2312"/>
          <w:color w:val="000000"/>
          <w:sz w:val="32"/>
          <w:szCs w:val="32"/>
        </w:rPr>
        <w:t>0</w:t>
      </w:r>
      <w:r>
        <w:rPr>
          <w:rFonts w:hint="eastAsia" w:ascii="仿宋_GB2312" w:hAnsi="ˎ̥" w:eastAsia="仿宋_GB2312"/>
          <w:color w:val="000000"/>
          <w:sz w:val="32"/>
          <w:szCs w:val="32"/>
        </w:rPr>
        <w:t>万元，占本年支出合计的0%。与2024年度国有资本经营预算财政拨款支出持平，主要原因是无国有资本经营预算财政拨款支出。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spacing w:line="578" w:lineRule="exact"/>
        <w:ind w:firstLine="640" w:firstLineChars="200"/>
        <w:rPr>
          <w:rFonts w:hint="eastAsia" w:ascii="仿宋" w:hAnsi="仿宋" w:eastAsia="仿宋" w:cs="仿宋"/>
          <w:sz w:val="32"/>
          <w:szCs w:val="32"/>
        </w:rPr>
      </w:pPr>
      <w:r>
        <w:rPr>
          <w:rFonts w:ascii="仿宋_GB2312" w:hAnsi="ˎ̥" w:eastAsia="仿宋_GB2312"/>
          <w:color w:val="000000"/>
          <w:sz w:val="32"/>
          <w:szCs w:val="32"/>
        </w:rPr>
        <w:t>202</w:t>
      </w:r>
      <w:r>
        <w:rPr>
          <w:rFonts w:hint="eastAsia" w:ascii="仿宋_GB2312" w:hAnsi="ˎ̥" w:eastAsia="仿宋_GB2312"/>
          <w:color w:val="000000"/>
          <w:sz w:val="32"/>
          <w:szCs w:val="32"/>
        </w:rPr>
        <w:t>5年度国有资本经营预算财政拨款支出</w:t>
      </w:r>
      <w:r>
        <w:rPr>
          <w:rFonts w:ascii="仿宋_GB2312" w:hAnsi="ˎ̥" w:eastAsia="仿宋_GB2312"/>
          <w:color w:val="000000"/>
          <w:sz w:val="32"/>
          <w:szCs w:val="32"/>
        </w:rPr>
        <w:t>0</w:t>
      </w:r>
      <w:r>
        <w:rPr>
          <w:rFonts w:hint="eastAsia" w:ascii="仿宋_GB2312" w:hAnsi="ˎ̥" w:eastAsia="仿宋_GB2312"/>
          <w:color w:val="000000"/>
          <w:sz w:val="32"/>
          <w:szCs w:val="32"/>
        </w:rPr>
        <w:t>万元，无国有资本经营预算财政拨款支出。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000000"/>
          <w:sz w:val="32"/>
          <w:szCs w:val="32"/>
        </w:rPr>
      </w:pPr>
      <w:r>
        <w:rPr>
          <w:rFonts w:ascii="仿宋_GB2312" w:hAnsi="ˎ̥" w:eastAsia="仿宋_GB2312"/>
          <w:color w:val="000000"/>
          <w:sz w:val="32"/>
          <w:szCs w:val="32"/>
        </w:rPr>
        <w:t>202</w:t>
      </w:r>
      <w:r>
        <w:rPr>
          <w:rFonts w:hint="eastAsia" w:ascii="仿宋_GB2312" w:hAnsi="ˎ̥" w:eastAsia="仿宋_GB2312"/>
          <w:color w:val="000000"/>
          <w:sz w:val="32"/>
          <w:szCs w:val="32"/>
        </w:rPr>
        <w:t>5年度国有资本经营预算财政拨款支出年初预算为0万元，支出决算为</w:t>
      </w:r>
      <w:r>
        <w:rPr>
          <w:rFonts w:ascii="仿宋_GB2312" w:hAnsi="ˎ̥" w:eastAsia="仿宋_GB2312"/>
          <w:color w:val="000000"/>
          <w:sz w:val="32"/>
          <w:szCs w:val="32"/>
        </w:rPr>
        <w:t>0</w:t>
      </w:r>
      <w:r>
        <w:rPr>
          <w:rFonts w:hint="eastAsia" w:ascii="仿宋_GB2312" w:hAnsi="ˎ̥" w:eastAsia="仿宋_GB2312"/>
          <w:color w:val="000000"/>
          <w:sz w:val="32"/>
          <w:szCs w:val="32"/>
        </w:rPr>
        <w:t>万元，完成年初预算的0%。本年无国有资本经营预算财政拨款支出预算，无国有资本经营预算财政拨款支</w:t>
      </w:r>
      <w:r>
        <w:rPr>
          <w:rFonts w:hint="eastAsia" w:ascii="仿宋_GB2312" w:hAnsi="ˎ̥" w:eastAsia="仿宋_GB2312"/>
          <w:color w:val="000000"/>
          <w:sz w:val="32"/>
          <w:szCs w:val="32"/>
          <w:lang w:eastAsia="zh-CN"/>
        </w:rPr>
        <w:t>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楷体_GB2312"/>
          <w:sz w:val="32"/>
          <w:szCs w:val="32"/>
        </w:rPr>
      </w:pPr>
      <w:r>
        <w:rPr>
          <w:rFonts w:hint="eastAsia" w:ascii="黑体" w:hAnsi="黑体" w:eastAsia="黑体" w:cs="黑体"/>
          <w:bCs/>
          <w:sz w:val="32"/>
          <w:szCs w:val="32"/>
        </w:rPr>
        <w:t>九、财政拨款“三公”经费支出决算情况说明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（一）财政拨款“三公”经费支出决算总体情况说明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000000"/>
          <w:sz w:val="32"/>
          <w:szCs w:val="32"/>
        </w:rPr>
      </w:pPr>
      <w:r>
        <w:rPr>
          <w:rFonts w:hint="eastAsia" w:ascii="仿宋_GB2312" w:eastAsia="仿宋_GB2312"/>
          <w:sz w:val="32"/>
          <w:szCs w:val="32"/>
          <w:lang w:val="en-US" w:eastAsia="zh-CN"/>
        </w:rPr>
        <w:t>2025年度财政拨款“三公”经费支出预算为0万元，支出决算为0万元，完成预算的0%，与2024年度财政拨款“三公”经费支出持平，主要原因是无“三公”经费支出。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（二）财政拨款“三公”经费支出决算具体情况说明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2025年度财政拨款“三公”经费支出决算中，因公出国（境）费支出决算0万元，占0%；公务用车购置及运行维护费支出决算0万元，占0%；公务接待费支出决算0万元，占0%。具体情况如下：</w:t>
      </w:r>
    </w:p>
    <w:p>
      <w:pPr>
        <w:spacing w:line="578" w:lineRule="exact"/>
        <w:ind w:firstLine="640" w:firstLineChars="200"/>
        <w:rPr>
          <w:rFonts w:hint="eastAsia" w:ascii="仿宋_GB2312" w:hAnsi="ˎ̥" w:eastAsia="仿宋_GB2312"/>
          <w:color w:val="000000"/>
          <w:sz w:val="32"/>
          <w:szCs w:val="32"/>
        </w:rPr>
      </w:pPr>
      <w:r>
        <w:rPr>
          <w:rFonts w:hint="eastAsia" w:ascii="仿宋_GB2312" w:hAnsi="ˎ̥" w:eastAsia="仿宋_GB2312"/>
          <w:b/>
          <w:color w:val="000000"/>
          <w:sz w:val="32"/>
          <w:szCs w:val="32"/>
        </w:rPr>
        <w:t>1.因公出国（境）费</w:t>
      </w:r>
      <w:r>
        <w:rPr>
          <w:rFonts w:hint="eastAsia" w:ascii="仿宋_GB2312" w:hAnsi="ˎ̥" w:eastAsia="仿宋_GB2312"/>
          <w:color w:val="000000"/>
          <w:sz w:val="32"/>
          <w:szCs w:val="32"/>
        </w:rPr>
        <w:t>支出</w:t>
      </w:r>
      <w:r>
        <w:rPr>
          <w:rFonts w:ascii="仿宋_GB2312" w:hAnsi="ˎ̥" w:eastAsia="仿宋_GB2312"/>
          <w:color w:val="000000"/>
          <w:sz w:val="32"/>
          <w:szCs w:val="32"/>
        </w:rPr>
        <w:t>0</w:t>
      </w:r>
      <w:r>
        <w:rPr>
          <w:rFonts w:hint="eastAsia" w:ascii="仿宋_GB2312" w:hAnsi="ˎ̥" w:eastAsia="仿宋_GB2312"/>
          <w:color w:val="000000"/>
          <w:sz w:val="32"/>
          <w:szCs w:val="32"/>
        </w:rPr>
        <w:t>万元。全年安排因公出国（境）团组0个，因公出国（境）0人次。</w:t>
      </w:r>
    </w:p>
    <w:p>
      <w:pPr>
        <w:spacing w:line="578" w:lineRule="exact"/>
        <w:ind w:firstLine="640" w:firstLineChars="200"/>
        <w:rPr>
          <w:rFonts w:hint="eastAsia" w:ascii="仿宋_GB2312" w:hAnsi="ˎ̥" w:eastAsia="仿宋_GB2312"/>
          <w:color w:val="000000"/>
          <w:sz w:val="32"/>
          <w:szCs w:val="32"/>
        </w:rPr>
      </w:pPr>
      <w:r>
        <w:rPr>
          <w:rFonts w:hint="eastAsia" w:ascii="仿宋_GB2312" w:hAnsi="ˎ̥" w:eastAsia="仿宋_GB2312"/>
          <w:color w:val="000000"/>
          <w:sz w:val="32"/>
          <w:szCs w:val="32"/>
        </w:rPr>
        <w:t>因公出国（境）费支出决算数与预算数持平。与2024年度因公出国（境）费支出持平，主要原因是无出国任务。</w:t>
      </w:r>
    </w:p>
    <w:p>
      <w:pPr>
        <w:spacing w:line="578" w:lineRule="exact"/>
        <w:rPr>
          <w:rFonts w:hint="eastAsia" w:ascii="仿宋_GB2312" w:hAnsi="ˎ̥" w:eastAsia="仿宋_GB2312"/>
          <w:color w:val="000000"/>
          <w:sz w:val="32"/>
          <w:szCs w:val="32"/>
        </w:rPr>
      </w:pPr>
      <w:r>
        <w:rPr>
          <w:rFonts w:hint="eastAsia" w:ascii="仿宋_GB2312" w:hAnsi="ˎ̥" w:eastAsia="仿宋_GB2312"/>
          <w:b/>
          <w:color w:val="000000"/>
          <w:sz w:val="32"/>
          <w:szCs w:val="32"/>
        </w:rPr>
        <w:t xml:space="preserve">    2.公务用车购置及运行维护费支出</w:t>
      </w:r>
      <w:r>
        <w:rPr>
          <w:rFonts w:ascii="仿宋_GB2312" w:hAnsi="ˎ̥" w:eastAsia="仿宋_GB2312"/>
          <w:color w:val="000000"/>
          <w:sz w:val="32"/>
          <w:szCs w:val="32"/>
        </w:rPr>
        <w:t>0</w:t>
      </w:r>
      <w:r>
        <w:rPr>
          <w:rFonts w:hint="eastAsia" w:ascii="仿宋_GB2312" w:hAnsi="ˎ̥" w:eastAsia="仿宋_GB2312"/>
          <w:color w:val="000000"/>
          <w:sz w:val="32"/>
          <w:szCs w:val="32"/>
        </w:rPr>
        <w:t>万元。其中：</w:t>
      </w:r>
    </w:p>
    <w:p>
      <w:pPr>
        <w:spacing w:line="578" w:lineRule="exact"/>
        <w:ind w:firstLine="640" w:firstLineChars="200"/>
        <w:rPr>
          <w:rFonts w:hint="eastAsia" w:ascii="仿宋_GB2312" w:hAnsi="ˎ̥" w:eastAsia="仿宋_GB2312"/>
          <w:color w:val="000000"/>
          <w:sz w:val="32"/>
          <w:szCs w:val="32"/>
        </w:rPr>
      </w:pPr>
      <w:r>
        <w:rPr>
          <w:rFonts w:hint="eastAsia" w:ascii="仿宋_GB2312" w:hAnsi="ˎ̥" w:eastAsia="仿宋_GB2312"/>
          <w:b/>
          <w:color w:val="000000"/>
          <w:sz w:val="32"/>
          <w:szCs w:val="32"/>
        </w:rPr>
        <w:t>公务用车购置支出</w:t>
      </w:r>
      <w:r>
        <w:rPr>
          <w:rFonts w:ascii="仿宋_GB2312" w:hAnsi="ˎ̥" w:eastAsia="仿宋_GB2312"/>
          <w:color w:val="000000"/>
          <w:sz w:val="32"/>
          <w:szCs w:val="32"/>
        </w:rPr>
        <w:t>0</w:t>
      </w:r>
      <w:r>
        <w:rPr>
          <w:rFonts w:hint="eastAsia" w:ascii="仿宋_GB2312" w:hAnsi="ˎ̥" w:eastAsia="仿宋_GB2312"/>
          <w:color w:val="000000"/>
          <w:sz w:val="32"/>
          <w:szCs w:val="32"/>
        </w:rPr>
        <w:t>万元，全年购置公务用车0辆，年末公务用车保有量0辆。</w:t>
      </w:r>
    </w:p>
    <w:p>
      <w:pPr>
        <w:spacing w:line="578" w:lineRule="exact"/>
        <w:ind w:firstLine="640" w:firstLineChars="200"/>
        <w:rPr>
          <w:rFonts w:hint="eastAsia" w:ascii="仿宋_GB2312" w:hAnsi="ˎ̥" w:eastAsia="仿宋_GB2312"/>
          <w:color w:val="000000"/>
          <w:sz w:val="32"/>
          <w:szCs w:val="32"/>
        </w:rPr>
      </w:pPr>
      <w:r>
        <w:rPr>
          <w:rFonts w:hint="eastAsia" w:ascii="仿宋_GB2312" w:hAnsi="ˎ̥" w:eastAsia="仿宋_GB2312"/>
          <w:b/>
          <w:color w:val="000000"/>
          <w:sz w:val="32"/>
          <w:szCs w:val="32"/>
        </w:rPr>
        <w:t>公务用车运行维护费</w:t>
      </w:r>
      <w:r>
        <w:rPr>
          <w:rFonts w:hint="eastAsia" w:ascii="仿宋_GB2312" w:hAnsi="ˎ̥" w:eastAsia="仿宋_GB2312"/>
          <w:color w:val="000000"/>
          <w:sz w:val="32"/>
          <w:szCs w:val="32"/>
        </w:rPr>
        <w:t>支出</w:t>
      </w:r>
      <w:r>
        <w:rPr>
          <w:rFonts w:ascii="仿宋_GB2312" w:hAnsi="ˎ̥" w:eastAsia="仿宋_GB2312"/>
          <w:color w:val="000000"/>
          <w:sz w:val="32"/>
          <w:szCs w:val="32"/>
        </w:rPr>
        <w:t>0</w:t>
      </w:r>
      <w:r>
        <w:rPr>
          <w:rFonts w:hint="eastAsia" w:ascii="仿宋_GB2312" w:hAnsi="ˎ̥" w:eastAsia="仿宋_GB2312"/>
          <w:color w:val="000000"/>
          <w:sz w:val="32"/>
          <w:szCs w:val="32"/>
        </w:rPr>
        <w:t>万元。</w:t>
      </w:r>
    </w:p>
    <w:p>
      <w:pPr>
        <w:spacing w:line="578" w:lineRule="exact"/>
        <w:ind w:firstLine="640" w:firstLineChars="200"/>
        <w:rPr>
          <w:rFonts w:hint="eastAsia" w:ascii="仿宋_GB2312" w:hAnsi="ˎ̥" w:eastAsia="仿宋_GB2312"/>
          <w:bCs/>
          <w:color w:val="000000"/>
          <w:sz w:val="32"/>
          <w:szCs w:val="32"/>
        </w:rPr>
      </w:pPr>
      <w:r>
        <w:rPr>
          <w:rFonts w:hint="eastAsia" w:ascii="仿宋_GB2312" w:hAnsi="ˎ̥" w:eastAsia="仿宋_GB2312"/>
          <w:bCs/>
          <w:color w:val="000000"/>
          <w:sz w:val="32"/>
          <w:szCs w:val="32"/>
        </w:rPr>
        <w:t>公务用车购置及运行维护费支出</w:t>
      </w:r>
      <w:r>
        <w:rPr>
          <w:rFonts w:hint="eastAsia" w:ascii="仿宋_GB2312" w:hAnsi="ˎ̥" w:eastAsia="仿宋_GB2312"/>
          <w:color w:val="000000"/>
          <w:sz w:val="32"/>
          <w:szCs w:val="32"/>
        </w:rPr>
        <w:t>决算数与预算数持平。与2024年度</w:t>
      </w:r>
      <w:r>
        <w:rPr>
          <w:rFonts w:hint="eastAsia" w:ascii="仿宋_GB2312" w:hAnsi="ˎ̥" w:eastAsia="仿宋_GB2312"/>
          <w:bCs/>
          <w:color w:val="000000"/>
          <w:sz w:val="32"/>
          <w:szCs w:val="32"/>
        </w:rPr>
        <w:t>公务用车购置及运行维护费</w:t>
      </w:r>
      <w:r>
        <w:rPr>
          <w:rFonts w:hint="eastAsia" w:ascii="仿宋_GB2312" w:hAnsi="ˎ̥" w:eastAsia="仿宋_GB2312"/>
          <w:color w:val="000000"/>
          <w:sz w:val="32"/>
          <w:szCs w:val="32"/>
        </w:rPr>
        <w:t>支出持平，主要原因是单位无公务用车。</w:t>
      </w:r>
    </w:p>
    <w:p>
      <w:pPr>
        <w:spacing w:line="578" w:lineRule="exact"/>
        <w:rPr>
          <w:rFonts w:hint="eastAsia" w:ascii="仿宋_GB2312" w:hAnsi="ˎ̥" w:eastAsia="仿宋_GB2312"/>
          <w:color w:val="000000"/>
          <w:sz w:val="32"/>
          <w:szCs w:val="32"/>
        </w:rPr>
      </w:pPr>
      <w:r>
        <w:rPr>
          <w:rFonts w:hint="eastAsia" w:ascii="仿宋_GB2312" w:hAnsi="ˎ̥" w:eastAsia="仿宋_GB2312"/>
          <w:b/>
          <w:color w:val="000000"/>
          <w:sz w:val="32"/>
          <w:szCs w:val="32"/>
        </w:rPr>
        <w:t xml:space="preserve">    3.公务接待费支出</w:t>
      </w:r>
      <w:r>
        <w:rPr>
          <w:rFonts w:ascii="仿宋_GB2312" w:hAnsi="ˎ̥" w:eastAsia="仿宋_GB2312"/>
          <w:color w:val="000000"/>
          <w:sz w:val="32"/>
          <w:szCs w:val="32"/>
        </w:rPr>
        <w:t>0</w:t>
      </w:r>
      <w:r>
        <w:rPr>
          <w:rFonts w:hint="eastAsia" w:ascii="仿宋_GB2312" w:hAnsi="ˎ̥" w:eastAsia="仿宋_GB2312"/>
          <w:color w:val="000000"/>
          <w:sz w:val="32"/>
          <w:szCs w:val="32"/>
        </w:rPr>
        <w:t>万元，其中：</w:t>
      </w:r>
    </w:p>
    <w:p>
      <w:pPr>
        <w:spacing w:line="578" w:lineRule="exact"/>
        <w:ind w:firstLine="640" w:firstLineChars="200"/>
        <w:rPr>
          <w:rFonts w:hint="eastAsia" w:ascii="仿宋_GB2312" w:hAnsi="ˎ̥" w:eastAsia="仿宋_GB2312"/>
          <w:color w:val="000000"/>
          <w:sz w:val="32"/>
          <w:szCs w:val="32"/>
        </w:rPr>
      </w:pPr>
      <w:r>
        <w:rPr>
          <w:rFonts w:hint="eastAsia" w:ascii="仿宋_GB2312" w:hAnsi="ˎ̥" w:eastAsia="仿宋_GB2312"/>
          <w:b/>
          <w:color w:val="000000"/>
          <w:sz w:val="32"/>
          <w:szCs w:val="32"/>
        </w:rPr>
        <w:t>国内接待费</w:t>
      </w:r>
      <w:r>
        <w:rPr>
          <w:rFonts w:hint="eastAsia" w:ascii="仿宋_GB2312" w:hAnsi="ˎ̥" w:eastAsia="仿宋_GB2312"/>
          <w:color w:val="000000"/>
          <w:sz w:val="32"/>
          <w:szCs w:val="32"/>
        </w:rPr>
        <w:t>支出0万元，国内公务接待0批次，接待0人次。</w:t>
      </w:r>
    </w:p>
    <w:p>
      <w:pPr>
        <w:spacing w:line="578" w:lineRule="exact"/>
        <w:ind w:firstLine="640" w:firstLineChars="200"/>
        <w:rPr>
          <w:rFonts w:hint="eastAsia" w:ascii="仿宋_GB2312" w:hAnsi="ˎ̥" w:eastAsia="仿宋_GB2312"/>
          <w:color w:val="000000"/>
          <w:sz w:val="32"/>
          <w:szCs w:val="32"/>
        </w:rPr>
      </w:pPr>
      <w:r>
        <w:rPr>
          <w:rFonts w:hint="eastAsia" w:ascii="仿宋_GB2312" w:hAnsi="ˎ̥" w:eastAsia="仿宋_GB2312"/>
          <w:b/>
          <w:bCs/>
          <w:color w:val="000000"/>
          <w:sz w:val="32"/>
          <w:szCs w:val="32"/>
        </w:rPr>
        <w:t>国（境）外接待费</w:t>
      </w:r>
      <w:r>
        <w:rPr>
          <w:rFonts w:hint="eastAsia" w:ascii="仿宋_GB2312" w:hAnsi="ˎ̥" w:eastAsia="仿宋_GB2312"/>
          <w:color w:val="000000"/>
          <w:sz w:val="32"/>
          <w:szCs w:val="32"/>
        </w:rPr>
        <w:t>支出0万元，国（境）外公务接待0批次，接待0人次。</w:t>
      </w:r>
    </w:p>
    <w:p>
      <w:pPr>
        <w:spacing w:line="578" w:lineRule="exact"/>
        <w:ind w:firstLine="640" w:firstLineChars="200"/>
        <w:rPr>
          <w:rFonts w:hint="eastAsia" w:ascii="仿宋_GB2312" w:hAnsi="ˎ̥" w:eastAsia="仿宋_GB2312"/>
          <w:color w:val="000000"/>
          <w:sz w:val="32"/>
          <w:szCs w:val="32"/>
        </w:rPr>
      </w:pPr>
      <w:r>
        <w:rPr>
          <w:rFonts w:hint="eastAsia" w:ascii="仿宋_GB2312" w:hAnsi="ˎ̥" w:eastAsia="仿宋_GB2312"/>
          <w:color w:val="000000"/>
          <w:sz w:val="32"/>
          <w:szCs w:val="32"/>
        </w:rPr>
        <w:t>公务接待费支出决算数与预算数持平。与2024年度</w:t>
      </w:r>
      <w:r>
        <w:rPr>
          <w:rFonts w:hint="eastAsia" w:ascii="仿宋_GB2312" w:hAnsi="ˎ̥" w:eastAsia="仿宋_GB2312"/>
          <w:bCs/>
          <w:color w:val="000000"/>
          <w:sz w:val="32"/>
          <w:szCs w:val="32"/>
        </w:rPr>
        <w:t>公务接待费</w:t>
      </w:r>
      <w:r>
        <w:rPr>
          <w:rFonts w:hint="eastAsia" w:ascii="仿宋_GB2312" w:hAnsi="ˎ̥" w:eastAsia="仿宋_GB2312"/>
          <w:color w:val="000000"/>
          <w:sz w:val="32"/>
          <w:szCs w:val="32"/>
        </w:rPr>
        <w:t>支出持平，主要原因是无公务接待。</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十、预算绩效情况说明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（一）绩效管理工作开展情况</w:t>
      </w:r>
    </w:p>
    <w:p>
      <w:pPr>
        <w:spacing w:line="578" w:lineRule="exact"/>
        <w:ind w:firstLine="640" w:firstLineChars="200"/>
        <w:rPr>
          <w:rFonts w:hint="eastAsia" w:ascii="仿宋_GB2312" w:hAnsi="ˎ̥" w:eastAsia="仿宋_GB2312"/>
          <w:color w:val="000000"/>
          <w:sz w:val="32"/>
          <w:szCs w:val="32"/>
        </w:rPr>
      </w:pPr>
      <w:r>
        <w:rPr>
          <w:rFonts w:hint="eastAsia" w:ascii="仿宋_GB2312" w:hAnsi="ˎ̥" w:eastAsia="仿宋_GB2312"/>
          <w:color w:val="000000"/>
          <w:sz w:val="32"/>
          <w:szCs w:val="32"/>
        </w:rPr>
        <w:t>根据预算管理要求，我单位组织对2025年度一般公共预算项目支出全面开展绩效自评,共涉及资金86.02万元，占一般公共预算项目支出总额的100%。组织对2025年度0个政府性基金预算项目开展绩效自评，共涉及资金0万元，占政府性基金预算项目支出总额的0%。组织对2025年度0个国有资本经营预算项目开展绩效自评，共涉及资金 0万元，占国有资本经营预算项目支出总额的0%。</w:t>
      </w:r>
    </w:p>
    <w:p>
      <w:pPr>
        <w:spacing w:line="578" w:lineRule="exact"/>
        <w:ind w:firstLine="640" w:firstLineChars="200"/>
        <w:rPr>
          <w:rFonts w:hint="eastAsia" w:ascii="仿宋_GB2312" w:hAnsi="ˎ̥" w:eastAsia="仿宋_GB2312"/>
          <w:color w:val="000000"/>
          <w:sz w:val="32"/>
          <w:szCs w:val="32"/>
        </w:rPr>
      </w:pPr>
      <w:r>
        <w:rPr>
          <w:rFonts w:hint="eastAsia" w:ascii="仿宋_GB2312" w:hAnsi="ˎ̥" w:eastAsia="仿宋_GB2312"/>
          <w:color w:val="000000"/>
          <w:sz w:val="32"/>
          <w:szCs w:val="32"/>
        </w:rPr>
        <w:t>本年度没有进行部门评价工作，涉及一般公共预算支出0万元，政府性基金预算支出0万元，国有资本经营预算支出0万元。</w:t>
      </w:r>
    </w:p>
    <w:p>
      <w:pPr>
        <w:spacing w:line="578" w:lineRule="exact"/>
        <w:ind w:firstLine="640" w:firstLineChars="200"/>
        <w:rPr>
          <w:rFonts w:hint="eastAsia" w:ascii="仿宋_GB2312" w:hAnsi="ˎ̥" w:eastAsia="仿宋_GB2312"/>
          <w:color w:val="000000"/>
          <w:sz w:val="32"/>
          <w:szCs w:val="32"/>
        </w:rPr>
      </w:pPr>
      <w:r>
        <w:rPr>
          <w:rFonts w:hint="eastAsia" w:ascii="仿宋_GB2312" w:hAnsi="ˎ̥" w:eastAsia="仿宋_GB2312"/>
          <w:color w:val="000000"/>
          <w:sz w:val="32"/>
          <w:szCs w:val="32"/>
        </w:rPr>
        <w:t>本年度没有进行部门整体支出绩效评价，涉及一般公共预算支出0万元，政府性基金预算支出0万元。</w:t>
      </w:r>
    </w:p>
    <w:p>
      <w:pPr>
        <w:keepNext w:val="0"/>
        <w:keepLines w:val="0"/>
        <w:pageBreakBefore w:val="0"/>
        <w:widowControl w:val="0"/>
        <w:numPr>
          <w:ilvl w:val="0"/>
          <w:numId w:val="4"/>
        </w:numPr>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部门决算中项目绩效自评结果</w:t>
      </w:r>
    </w:p>
    <w:p>
      <w:pPr>
        <w:spacing w:line="578"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我单位在部门决算中反映编外人员支出等1个项目绩效自评结果。</w:t>
      </w:r>
    </w:p>
    <w:p>
      <w:pPr>
        <w:spacing w:line="578"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编外人员支出项目绩效自评表：详见附件2</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编外人员支出项目绩效自评报告：根据年初设定的绩效目标，项目绩效自评得分为100分。全年预算数为3.55万元，执行数为3.55万元，完成预算的100%。项目绩效目标完成情况：一是</w:t>
      </w:r>
      <w:r>
        <w:rPr>
          <w:rFonts w:ascii="仿宋_GB2312" w:eastAsia="仿宋_GB2312"/>
          <w:color w:val="000000"/>
          <w:sz w:val="32"/>
          <w:szCs w:val="32"/>
        </w:rPr>
        <w:t>足额发放聘用编外人员工资</w:t>
      </w:r>
      <w:r>
        <w:rPr>
          <w:rFonts w:hint="eastAsia" w:ascii="仿宋_GB2312" w:eastAsia="仿宋_GB2312"/>
          <w:color w:val="000000"/>
          <w:sz w:val="32"/>
          <w:szCs w:val="32"/>
        </w:rPr>
        <w:t>；二是</w:t>
      </w:r>
      <w:r>
        <w:rPr>
          <w:rFonts w:ascii="仿宋_GB2312" w:eastAsia="仿宋_GB2312"/>
          <w:color w:val="000000"/>
          <w:sz w:val="32"/>
          <w:szCs w:val="32"/>
        </w:rPr>
        <w:t>用</w:t>
      </w:r>
      <w:r>
        <w:rPr>
          <w:rFonts w:hint="eastAsia" w:ascii="仿宋_GB2312" w:eastAsia="仿宋_GB2312"/>
          <w:color w:val="000000"/>
          <w:sz w:val="32"/>
          <w:szCs w:val="32"/>
        </w:rPr>
        <w:t>于</w:t>
      </w:r>
      <w:r>
        <w:rPr>
          <w:rFonts w:ascii="仿宋_GB2312" w:eastAsia="仿宋_GB2312"/>
          <w:color w:val="000000"/>
          <w:sz w:val="32"/>
          <w:szCs w:val="32"/>
        </w:rPr>
        <w:t>编外人员</w:t>
      </w:r>
      <w:r>
        <w:rPr>
          <w:rFonts w:hint="eastAsia" w:ascii="仿宋_GB2312" w:eastAsia="仿宋_GB2312"/>
          <w:color w:val="000000"/>
          <w:sz w:val="32"/>
          <w:szCs w:val="32"/>
        </w:rPr>
        <w:t>工会经费。发现的主要问题及原因无。下一步改进措施：一是县级项目资金下拨后，认真落实好每个项目，保证按时完成；二是加强领导、落实责任。加强项目的监督、管理和指导，切实将项目落到实处。</w:t>
      </w:r>
    </w:p>
    <w:p>
      <w:pPr>
        <w:spacing w:line="578" w:lineRule="exact"/>
        <w:ind w:firstLine="640" w:firstLineChars="200"/>
        <w:rPr>
          <w:rFonts w:ascii="楷体" w:hAnsi="楷体" w:eastAsia="楷体" w:cs="楷体"/>
          <w:bCs/>
          <w:sz w:val="32"/>
          <w:szCs w:val="32"/>
        </w:rPr>
      </w:pPr>
      <w:r>
        <w:rPr>
          <w:rFonts w:hint="eastAsia" w:ascii="楷体" w:hAnsi="楷体" w:eastAsia="楷体" w:cs="楷体"/>
          <w:bCs/>
          <w:sz w:val="32"/>
          <w:szCs w:val="32"/>
        </w:rPr>
        <w:t>（三）部门评价结果</w:t>
      </w:r>
    </w:p>
    <w:p>
      <w:pPr>
        <w:spacing w:line="578" w:lineRule="exact"/>
        <w:ind w:firstLine="640" w:firstLineChars="200"/>
        <w:rPr>
          <w:rFonts w:ascii="楷体" w:hAnsi="楷体" w:eastAsia="楷体" w:cs="楷体"/>
          <w:bCs/>
          <w:color w:val="000000"/>
          <w:sz w:val="32"/>
          <w:szCs w:val="32"/>
        </w:rPr>
      </w:pPr>
      <w:r>
        <w:rPr>
          <w:rFonts w:hint="eastAsia" w:ascii="楷体" w:hAnsi="楷体" w:eastAsia="楷体" w:cs="楷体"/>
          <w:bCs/>
          <w:color w:val="000000"/>
          <w:sz w:val="32"/>
          <w:szCs w:val="32"/>
        </w:rPr>
        <w:t>无此项内容。</w:t>
      </w:r>
    </w:p>
    <w:p>
      <w:pPr>
        <w:spacing w:line="578" w:lineRule="exact"/>
        <w:ind w:firstLine="640" w:firstLineChars="200"/>
        <w:rPr>
          <w:rFonts w:ascii="楷体" w:hAnsi="楷体" w:eastAsia="楷体" w:cs="楷体"/>
          <w:bCs/>
          <w:sz w:val="32"/>
          <w:szCs w:val="32"/>
        </w:rPr>
      </w:pPr>
      <w:r>
        <w:rPr>
          <w:rFonts w:hint="eastAsia" w:ascii="楷体" w:hAnsi="楷体" w:eastAsia="楷体" w:cs="楷体"/>
          <w:bCs/>
          <w:sz w:val="32"/>
          <w:szCs w:val="32"/>
        </w:rPr>
        <w:t>（四）财政评价结果</w:t>
      </w:r>
    </w:p>
    <w:p>
      <w:pPr>
        <w:spacing w:line="578" w:lineRule="exact"/>
        <w:ind w:firstLine="640" w:firstLineChars="200"/>
        <w:rPr>
          <w:rFonts w:ascii="楷体" w:hAnsi="楷体" w:eastAsia="楷体" w:cs="楷体"/>
          <w:bCs/>
          <w:color w:val="000000"/>
          <w:sz w:val="32"/>
          <w:szCs w:val="32"/>
        </w:rPr>
      </w:pPr>
      <w:r>
        <w:rPr>
          <w:rFonts w:hint="eastAsia" w:ascii="楷体" w:hAnsi="楷体" w:eastAsia="楷体" w:cs="楷体"/>
          <w:bCs/>
          <w:color w:val="000000"/>
          <w:sz w:val="32"/>
          <w:szCs w:val="32"/>
        </w:rPr>
        <w:t>无此项内容</w:t>
      </w:r>
      <w:r>
        <w:rPr>
          <w:rFonts w:hint="eastAsia" w:ascii="仿宋" w:hAnsi="仿宋" w:eastAsia="仿宋" w:cs="仿宋"/>
          <w:sz w:val="32"/>
          <w:szCs w:val="32"/>
          <w:lang w:val="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lang w:val="zh-CN"/>
        </w:rPr>
      </w:pPr>
      <w:r>
        <w:rPr>
          <w:rFonts w:hint="eastAsia" w:ascii="黑体" w:hAnsi="黑体" w:eastAsia="黑体" w:cs="黑体"/>
          <w:bCs/>
          <w:sz w:val="32"/>
          <w:szCs w:val="32"/>
          <w:lang w:val="zh-CN"/>
        </w:rPr>
        <w:t>十一、落实习惯过紧日子要求、保障重点支出情况说明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color w:val="000000"/>
          <w:sz w:val="32"/>
          <w:szCs w:val="32"/>
          <w:lang w:val="zh-CN"/>
        </w:rPr>
      </w:pPr>
      <w:r>
        <w:rPr>
          <w:rFonts w:hint="eastAsia" w:ascii="仿宋_GB2312" w:eastAsia="仿宋_GB2312"/>
          <w:color w:val="000000"/>
          <w:sz w:val="32"/>
          <w:szCs w:val="32"/>
          <w:lang w:val="zh-CN"/>
        </w:rPr>
        <w:t>按照党中央、国务院关于党政机关习惯过紧日子的有关要求，厉行节约办一切事业，严控一般性支出。同时坚持有保有压，优化支出结构，提高资金使用效率，合理保障</w:t>
      </w:r>
      <w:r>
        <w:rPr>
          <w:rFonts w:hint="eastAsia" w:ascii="仿宋_GB2312" w:eastAsia="仿宋_GB2312"/>
          <w:color w:val="000000"/>
          <w:sz w:val="32"/>
          <w:szCs w:val="32"/>
          <w:lang w:val="zh-CN" w:eastAsia="zh-CN"/>
        </w:rPr>
        <w:t>人员工资和五险一金</w:t>
      </w:r>
      <w:r>
        <w:rPr>
          <w:rFonts w:hint="eastAsia" w:ascii="仿宋_GB2312" w:eastAsia="仿宋_GB2312"/>
          <w:color w:val="000000"/>
          <w:sz w:val="32"/>
          <w:szCs w:val="32"/>
          <w:lang w:val="zh-CN"/>
        </w:rPr>
        <w:t>等重点支出</w:t>
      </w:r>
      <w:r>
        <w:rPr>
          <w:rFonts w:hint="eastAsia" w:ascii="仿宋_GB2312" w:eastAsia="仿宋_GB2312"/>
          <w:color w:val="000000"/>
          <w:sz w:val="32"/>
          <w:szCs w:val="32"/>
          <w:lang w:val="en-US" w:eastAsia="zh-CN"/>
        </w:rPr>
        <w:t>,资金足额统筹安排，体现在工资奖金津补贴、工伤保险、行政事业单位养老支出、行政事业单位医疗、住房改革支出等支出科目中</w:t>
      </w:r>
      <w:r>
        <w:rPr>
          <w:rFonts w:hint="eastAsia" w:ascii="仿宋_GB2312" w:eastAsia="仿宋_GB2312"/>
          <w:color w:val="000000"/>
          <w:sz w:val="32"/>
          <w:szCs w:val="32"/>
          <w:lang w:val="zh-CN"/>
        </w:rPr>
        <w:t>。按照支出功能分类，</w:t>
      </w:r>
      <w:r>
        <w:rPr>
          <w:rFonts w:hint="eastAsia" w:ascii="仿宋_GB2312" w:eastAsia="仿宋_GB2312"/>
          <w:color w:val="000000"/>
          <w:sz w:val="32"/>
          <w:szCs w:val="32"/>
          <w:lang w:val="zh-CN" w:eastAsia="zh-CN"/>
        </w:rPr>
        <w:t>行政运行</w:t>
      </w:r>
      <w:r>
        <w:rPr>
          <w:rFonts w:hint="eastAsia" w:ascii="仿宋_GB2312" w:eastAsia="仿宋_GB2312"/>
          <w:color w:val="000000"/>
          <w:sz w:val="32"/>
          <w:szCs w:val="32"/>
          <w:lang w:val="zh-CN"/>
        </w:rPr>
        <w:t>方面的支出规模占财政拨款支出总额的比重较高，主要是：工资奖金津补贴，2025年度决算数为</w:t>
      </w:r>
      <w:r>
        <w:rPr>
          <w:rFonts w:hint="eastAsia" w:ascii="仿宋_GB2312" w:eastAsia="仿宋_GB2312"/>
          <w:color w:val="000000"/>
          <w:sz w:val="32"/>
          <w:szCs w:val="32"/>
          <w:lang w:val="en-US" w:eastAsia="zh-CN"/>
        </w:rPr>
        <w:t>55.47</w:t>
      </w:r>
      <w:r>
        <w:rPr>
          <w:rFonts w:hint="eastAsia" w:ascii="仿宋_GB2312" w:eastAsia="仿宋_GB2312"/>
          <w:color w:val="000000"/>
          <w:sz w:val="32"/>
          <w:szCs w:val="32"/>
          <w:lang w:val="zh-CN"/>
        </w:rPr>
        <w:t>万元，占财政拨款支出总额的</w:t>
      </w:r>
      <w:r>
        <w:rPr>
          <w:rFonts w:hint="eastAsia" w:ascii="仿宋_GB2312" w:eastAsia="仿宋_GB2312"/>
          <w:color w:val="000000"/>
          <w:sz w:val="32"/>
          <w:szCs w:val="32"/>
          <w:lang w:val="en-US" w:eastAsia="zh-CN"/>
        </w:rPr>
        <w:t>66.42</w:t>
      </w:r>
      <w:r>
        <w:rPr>
          <w:rFonts w:hint="eastAsia" w:ascii="仿宋_GB2312" w:eastAsia="仿宋_GB2312"/>
          <w:color w:val="000000"/>
          <w:sz w:val="32"/>
          <w:szCs w:val="32"/>
          <w:lang w:val="zh-CN"/>
        </w:rPr>
        <w:t>%，主要用于每月足额发放在职人员工资奖金。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w:t>
      </w:r>
      <w:r>
        <w:rPr>
          <w:rFonts w:hint="eastAsia" w:ascii="黑体" w:hAnsi="黑体" w:eastAsia="黑体" w:cs="黑体"/>
          <w:bCs/>
          <w:sz w:val="32"/>
          <w:szCs w:val="32"/>
          <w:lang w:val="en-US" w:eastAsia="zh-CN"/>
        </w:rPr>
        <w:t>二</w:t>
      </w:r>
      <w:r>
        <w:rPr>
          <w:rFonts w:hint="eastAsia" w:ascii="黑体" w:hAnsi="黑体" w:eastAsia="黑体" w:cs="黑体"/>
          <w:bCs/>
          <w:sz w:val="32"/>
          <w:szCs w:val="32"/>
        </w:rPr>
        <w:t>、其他重要事项情况说明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97" w:name="_Toc32639_WPSOffice_Level2"/>
      <w:bookmarkStart w:id="98" w:name="_Toc18325_WPSOffice_Level2"/>
      <w:bookmarkStart w:id="99" w:name="_Toc15565_WPSOffice_Level2"/>
      <w:bookmarkStart w:id="100" w:name="_Toc5978_WPSOffice_Level2"/>
      <w:bookmarkStart w:id="101" w:name="_Toc23598_WPSOffice_Level2"/>
      <w:bookmarkStart w:id="102" w:name="_Toc15262_WPSOffice_Level2"/>
      <w:r>
        <w:rPr>
          <w:rFonts w:hint="eastAsia" w:ascii="楷体" w:hAnsi="楷体" w:eastAsia="楷体" w:cs="楷体"/>
          <w:bCs/>
          <w:sz w:val="32"/>
          <w:szCs w:val="32"/>
        </w:rPr>
        <w:t>（一）机关运行经费支出情况</w:t>
      </w:r>
      <w:bookmarkEnd w:id="97"/>
      <w:bookmarkEnd w:id="98"/>
      <w:bookmarkEnd w:id="99"/>
      <w:bookmarkEnd w:id="100"/>
      <w:bookmarkEnd w:id="101"/>
      <w:bookmarkEnd w:id="102"/>
    </w:p>
    <w:p>
      <w:pPr>
        <w:spacing w:line="578" w:lineRule="exact"/>
        <w:ind w:firstLine="640" w:firstLineChars="200"/>
        <w:rPr>
          <w:rFonts w:hint="eastAsia" w:ascii="仿宋" w:hAnsi="仿宋" w:eastAsia="仿宋" w:cs="仿宋"/>
          <w:sz w:val="32"/>
          <w:szCs w:val="32"/>
        </w:rPr>
      </w:pPr>
      <w:r>
        <w:rPr>
          <w:rFonts w:hint="default" w:ascii="仿宋_GB2312" w:hAnsi="ˎ̥" w:eastAsia="仿宋_GB2312"/>
          <w:color w:val="000000"/>
          <w:sz w:val="32"/>
          <w:szCs w:val="32"/>
          <w:lang w:val="en-US"/>
        </w:rPr>
        <w:t>202</w:t>
      </w:r>
      <w:r>
        <w:rPr>
          <w:rFonts w:hint="eastAsia" w:ascii="仿宋_GB2312" w:hAnsi="ˎ̥" w:eastAsia="仿宋_GB2312"/>
          <w:color w:val="000000"/>
          <w:sz w:val="32"/>
          <w:szCs w:val="32"/>
          <w:lang w:val="en-US" w:eastAsia="zh-CN"/>
        </w:rPr>
        <w:t>5</w:t>
      </w:r>
      <w:r>
        <w:rPr>
          <w:rFonts w:hint="eastAsia" w:ascii="仿宋_GB2312" w:hAnsi="ˎ̥" w:eastAsia="仿宋_GB2312"/>
          <w:color w:val="000000"/>
          <w:sz w:val="32"/>
          <w:szCs w:val="32"/>
        </w:rPr>
        <w:t>年度</w:t>
      </w:r>
      <w:r>
        <w:rPr>
          <w:rFonts w:hint="eastAsia" w:ascii="仿宋_GB2312" w:hAnsi="ˎ̥" w:eastAsia="仿宋_GB2312"/>
          <w:color w:val="000000"/>
          <w:sz w:val="32"/>
          <w:szCs w:val="32"/>
          <w:lang w:val="en-US" w:eastAsia="zh-CN"/>
        </w:rPr>
        <w:t>加茂财政所</w:t>
      </w:r>
      <w:r>
        <w:rPr>
          <w:rFonts w:hint="eastAsia" w:ascii="仿宋_GB2312" w:hAnsi="ˎ̥" w:eastAsia="仿宋_GB2312"/>
          <w:color w:val="000000"/>
          <w:sz w:val="32"/>
          <w:szCs w:val="32"/>
        </w:rPr>
        <w:t>机关运行经费</w:t>
      </w:r>
      <w:r>
        <w:rPr>
          <w:rFonts w:hint="eastAsia" w:ascii="仿宋_GB2312" w:hAnsi="ˎ̥" w:eastAsia="仿宋_GB2312"/>
          <w:color w:val="000000"/>
          <w:sz w:val="32"/>
          <w:szCs w:val="32"/>
          <w:lang w:val="en-US" w:eastAsia="zh-CN"/>
        </w:rPr>
        <w:t>5.41</w:t>
      </w:r>
      <w:r>
        <w:rPr>
          <w:rFonts w:hint="eastAsia" w:ascii="仿宋_GB2312" w:hAnsi="ˎ̥" w:eastAsia="仿宋_GB2312"/>
          <w:color w:val="000000"/>
          <w:sz w:val="32"/>
          <w:szCs w:val="32"/>
        </w:rPr>
        <w:t>万元，比年初预算减少</w:t>
      </w:r>
      <w:r>
        <w:rPr>
          <w:rFonts w:hint="eastAsia" w:ascii="仿宋_GB2312" w:hAnsi="ˎ̥" w:eastAsia="仿宋_GB2312"/>
          <w:color w:val="000000"/>
          <w:sz w:val="32"/>
          <w:szCs w:val="32"/>
          <w:lang w:val="en-US" w:eastAsia="zh-CN"/>
        </w:rPr>
        <w:t>14.43</w:t>
      </w:r>
      <w:r>
        <w:rPr>
          <w:rFonts w:hint="eastAsia" w:ascii="仿宋_GB2312" w:hAnsi="ˎ̥" w:eastAsia="仿宋_GB2312"/>
          <w:color w:val="000000"/>
          <w:sz w:val="32"/>
          <w:szCs w:val="32"/>
        </w:rPr>
        <w:t>万元，</w:t>
      </w:r>
      <w:r>
        <w:rPr>
          <w:rFonts w:hint="eastAsia" w:ascii="仿宋_GB2312" w:hAnsi="ˎ̥" w:eastAsia="仿宋_GB2312"/>
          <w:color w:val="000000"/>
          <w:sz w:val="32"/>
          <w:szCs w:val="32"/>
          <w:lang w:val="en-US" w:eastAsia="zh-CN"/>
        </w:rPr>
        <w:t>完成预算的27.27</w:t>
      </w:r>
      <w:r>
        <w:rPr>
          <w:rFonts w:hint="eastAsia" w:ascii="仿宋_GB2312" w:hAnsi="ˎ̥" w:eastAsia="仿宋_GB2312"/>
          <w:color w:val="000000"/>
          <w:sz w:val="32"/>
          <w:szCs w:val="32"/>
        </w:rPr>
        <w:t>%</w:t>
      </w:r>
      <w:r>
        <w:rPr>
          <w:rFonts w:hint="eastAsia" w:ascii="仿宋_GB2312" w:hAnsi="ˎ̥" w:eastAsia="仿宋_GB2312"/>
          <w:color w:val="000000"/>
          <w:sz w:val="32"/>
          <w:szCs w:val="32"/>
          <w:lang w:eastAsia="zh-CN"/>
        </w:rPr>
        <w:t>；</w:t>
      </w:r>
      <w:r>
        <w:rPr>
          <w:rFonts w:hint="eastAsia" w:ascii="仿宋_GB2312" w:hAnsi="ˎ̥" w:eastAsia="仿宋_GB2312"/>
          <w:color w:val="000000"/>
          <w:sz w:val="32"/>
          <w:szCs w:val="32"/>
          <w:lang w:val="en-US" w:eastAsia="zh-CN"/>
        </w:rPr>
        <w:t>与2024年度相比，机关运行经费</w:t>
      </w:r>
      <w:r>
        <w:rPr>
          <w:rFonts w:hint="eastAsia" w:ascii="仿宋_GB2312" w:hAnsi="ˎ̥" w:eastAsia="仿宋_GB2312"/>
          <w:color w:val="000000"/>
          <w:sz w:val="32"/>
          <w:szCs w:val="32"/>
        </w:rPr>
        <w:t>减少</w:t>
      </w:r>
      <w:r>
        <w:rPr>
          <w:rFonts w:hint="eastAsia" w:ascii="仿宋_GB2312" w:hAnsi="ˎ̥" w:eastAsia="仿宋_GB2312"/>
          <w:color w:val="000000"/>
          <w:sz w:val="32"/>
          <w:szCs w:val="32"/>
          <w:lang w:val="en-US" w:eastAsia="zh-CN"/>
        </w:rPr>
        <w:t>9.57</w:t>
      </w:r>
      <w:r>
        <w:rPr>
          <w:rFonts w:hint="eastAsia" w:ascii="仿宋_GB2312" w:hAnsi="ˎ̥" w:eastAsia="仿宋_GB2312"/>
          <w:color w:val="000000"/>
          <w:sz w:val="32"/>
          <w:szCs w:val="32"/>
        </w:rPr>
        <w:t>万元</w:t>
      </w:r>
      <w:r>
        <w:rPr>
          <w:rFonts w:hint="eastAsia" w:ascii="仿宋_GB2312" w:hAnsi="ˎ̥" w:eastAsia="仿宋_GB2312"/>
          <w:color w:val="000000"/>
          <w:sz w:val="32"/>
          <w:szCs w:val="32"/>
          <w:lang w:eastAsia="zh-CN"/>
        </w:rPr>
        <w:t>，</w:t>
      </w:r>
      <w:r>
        <w:rPr>
          <w:rFonts w:hint="eastAsia" w:ascii="仿宋_GB2312" w:hAnsi="ˎ̥" w:eastAsia="仿宋_GB2312"/>
          <w:color w:val="000000"/>
          <w:sz w:val="32"/>
          <w:szCs w:val="32"/>
          <w:lang w:val="en-US" w:eastAsia="zh-CN"/>
        </w:rPr>
        <w:t>下降63.89%。</w:t>
      </w:r>
      <w:r>
        <w:rPr>
          <w:rFonts w:hint="eastAsia" w:ascii="仿宋_GB2312" w:hAnsi="ˎ̥" w:eastAsia="仿宋_GB2312"/>
          <w:color w:val="000000"/>
          <w:sz w:val="32"/>
          <w:szCs w:val="32"/>
        </w:rPr>
        <w:t>主要原因是：</w:t>
      </w:r>
      <w:r>
        <w:rPr>
          <w:rFonts w:hint="eastAsia" w:ascii="仿宋_GB2312" w:hAnsi="ˎ̥" w:eastAsia="仿宋_GB2312"/>
          <w:color w:val="000000"/>
          <w:sz w:val="32"/>
          <w:szCs w:val="32"/>
          <w:lang w:eastAsia="zh-CN"/>
        </w:rPr>
        <w:t>财政所机构改革，由财政局统一管理，不再作为独立的预算单位，将资金调剂给财政局</w:t>
      </w:r>
      <w:r>
        <w:rPr>
          <w:rFonts w:hint="eastAsia" w:ascii="仿宋_GB2312" w:hAnsi="ˎ̥" w:eastAsia="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103" w:name="_Toc30383_WPSOffice_Level2"/>
      <w:bookmarkStart w:id="104" w:name="_Toc32689_WPSOffice_Level2"/>
      <w:bookmarkStart w:id="105" w:name="_Toc25333_WPSOffice_Level2"/>
      <w:bookmarkStart w:id="106" w:name="_Toc3131_WPSOffice_Level2"/>
      <w:bookmarkStart w:id="107" w:name="_Toc23966_WPSOffice_Level2"/>
      <w:bookmarkStart w:id="108" w:name="_Toc13084_WPSOffice_Level2"/>
      <w:r>
        <w:rPr>
          <w:rFonts w:hint="eastAsia" w:ascii="楷体" w:hAnsi="楷体" w:eastAsia="楷体" w:cs="楷体"/>
          <w:bCs/>
          <w:sz w:val="32"/>
          <w:szCs w:val="32"/>
        </w:rPr>
        <w:t>（二）政府采购支出情况</w:t>
      </w:r>
      <w:bookmarkEnd w:id="103"/>
      <w:bookmarkEnd w:id="104"/>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000000"/>
          <w:sz w:val="32"/>
          <w:szCs w:val="32"/>
        </w:rPr>
      </w:pPr>
      <w:bookmarkStart w:id="109" w:name="_Toc15129_WPSOffice_Level2"/>
      <w:bookmarkStart w:id="110" w:name="_Toc19989_WPSOffice_Level2"/>
      <w:bookmarkStart w:id="111" w:name="_Toc527_WPSOffice_Level2"/>
      <w:bookmarkStart w:id="112" w:name="_Toc10902_WPSOffice_Level2"/>
      <w:bookmarkStart w:id="113" w:name="_Toc6016_WPSOffice_Level2"/>
      <w:bookmarkStart w:id="114" w:name="_Toc29584_WPSOffice_Level2"/>
      <w:r>
        <w:rPr>
          <w:rFonts w:hint="default" w:ascii="仿宋_GB2312" w:hAnsi="ˎ̥" w:eastAsia="仿宋_GB2312"/>
          <w:color w:val="000000"/>
          <w:sz w:val="32"/>
          <w:szCs w:val="32"/>
          <w:lang w:val="en-US"/>
        </w:rPr>
        <w:t>202</w:t>
      </w:r>
      <w:r>
        <w:rPr>
          <w:rFonts w:hint="eastAsia" w:ascii="仿宋_GB2312" w:hAnsi="ˎ̥" w:eastAsia="仿宋_GB2312"/>
          <w:color w:val="000000"/>
          <w:sz w:val="32"/>
          <w:szCs w:val="32"/>
          <w:lang w:val="en-US" w:eastAsia="zh-CN"/>
        </w:rPr>
        <w:t>5</w:t>
      </w:r>
      <w:r>
        <w:rPr>
          <w:rFonts w:hint="eastAsia" w:ascii="仿宋_GB2312" w:hAnsi="ˎ̥" w:eastAsia="仿宋_GB2312"/>
          <w:color w:val="000000"/>
          <w:sz w:val="32"/>
          <w:szCs w:val="32"/>
        </w:rPr>
        <w:t>年度</w:t>
      </w:r>
      <w:r>
        <w:rPr>
          <w:rFonts w:hint="eastAsia" w:ascii="仿宋_GB2312" w:hAnsi="ˎ̥" w:eastAsia="仿宋_GB2312"/>
          <w:color w:val="000000"/>
          <w:sz w:val="32"/>
          <w:szCs w:val="32"/>
          <w:lang w:val="en-US" w:eastAsia="zh-CN"/>
        </w:rPr>
        <w:t>加茂财政所</w:t>
      </w:r>
      <w:r>
        <w:rPr>
          <w:rFonts w:hint="eastAsia" w:ascii="仿宋_GB2312" w:hAnsi="ˎ̥" w:eastAsia="仿宋_GB2312"/>
          <w:color w:val="000000"/>
          <w:sz w:val="32"/>
          <w:szCs w:val="32"/>
        </w:rPr>
        <w:t>政府采购支出总额</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万元，其中：政府采购货物支出</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万元、政府采购工程支出</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万元、政府采购服务支出</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万元。授予中小企业合同金额</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万元，占政府采购支出总额的</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%，其中：授予小微企业合同金额</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万元，占</w:t>
      </w:r>
      <w:r>
        <w:rPr>
          <w:rFonts w:hint="eastAsia" w:ascii="仿宋_GB2312" w:hAnsi="仿宋_GB2312" w:eastAsia="仿宋_GB2312" w:cs="仿宋_GB2312"/>
          <w:color w:val="000000"/>
          <w:kern w:val="0"/>
          <w:sz w:val="32"/>
          <w:szCs w:val="32"/>
          <w:lang w:bidi="ar"/>
        </w:rPr>
        <w:t>授予中小企业合同金额</w:t>
      </w:r>
      <w:r>
        <w:rPr>
          <w:rFonts w:hint="eastAsia" w:ascii="仿宋_GB2312" w:hAnsi="仿宋_GB2312" w:eastAsia="仿宋_GB2312" w:cs="仿宋_GB2312"/>
          <w:color w:val="000000"/>
          <w:sz w:val="32"/>
          <w:szCs w:val="32"/>
        </w:rPr>
        <w:t>的</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（三）国有资产占用情况</w:t>
      </w:r>
      <w:bookmarkEnd w:id="109"/>
      <w:bookmarkEnd w:id="110"/>
      <w:bookmarkEnd w:id="111"/>
      <w:bookmarkEnd w:id="112"/>
      <w:bookmarkEnd w:id="113"/>
      <w:bookmarkEnd w:id="114"/>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000000"/>
          <w:sz w:val="32"/>
          <w:szCs w:val="32"/>
        </w:rPr>
      </w:pPr>
      <w:r>
        <w:rPr>
          <w:rFonts w:hint="eastAsia" w:ascii="仿宋_GB2312" w:hAnsi="ˎ̥" w:eastAsia="仿宋_GB2312"/>
          <w:color w:val="000000"/>
          <w:sz w:val="32"/>
          <w:szCs w:val="32"/>
        </w:rPr>
        <w:t>截至</w:t>
      </w:r>
      <w:r>
        <w:rPr>
          <w:rFonts w:hint="eastAsia" w:ascii="仿宋_GB2312" w:hAnsi="ˎ̥" w:eastAsia="仿宋_GB2312"/>
          <w:color w:val="000000"/>
          <w:sz w:val="32"/>
          <w:szCs w:val="32"/>
          <w:lang w:val="en-US"/>
        </w:rPr>
        <w:t>2025</w:t>
      </w:r>
      <w:r>
        <w:rPr>
          <w:rFonts w:hint="eastAsia" w:ascii="仿宋_GB2312" w:hAnsi="ˎ̥" w:eastAsia="仿宋_GB2312"/>
          <w:color w:val="000000"/>
          <w:sz w:val="32"/>
          <w:szCs w:val="32"/>
        </w:rPr>
        <w:t>年12月31日，本部门拥有房屋面积</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平方米，其中：办公用房</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平方米，业务用房</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平方米，其他（不含构筑物）</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平方米。</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000000"/>
          <w:sz w:val="32"/>
          <w:szCs w:val="32"/>
        </w:rPr>
      </w:pPr>
      <w:r>
        <w:rPr>
          <w:rFonts w:hint="eastAsia" w:ascii="仿宋_GB2312" w:hAnsi="ˎ̥" w:eastAsia="仿宋_GB2312"/>
          <w:color w:val="000000"/>
          <w:sz w:val="32"/>
          <w:szCs w:val="32"/>
        </w:rPr>
        <w:t>本部门共有车辆</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辆，其中，副部（省）级及以上领导用车</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辆、主要负责人用车</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辆、机要通信用车</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辆、应急保障用车</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辆、执法执勤用车</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辆、特种专业技术用车</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辆、离退休干部服务用车</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辆、其他用车</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辆。单价100万元（含）以上设备（不含车辆）</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000000"/>
          <w:sz w:val="32"/>
          <w:szCs w:val="32"/>
        </w:rPr>
      </w:pPr>
      <w:r>
        <w:rPr>
          <w:rFonts w:hint="eastAsia" w:ascii="仿宋_GB2312" w:hAnsi="ˎ̥" w:eastAsia="仿宋_GB2312"/>
          <w:color w:val="000000"/>
          <w:sz w:val="32"/>
          <w:szCs w:val="32"/>
        </w:rPr>
        <w:t>年末在建工程</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center"/>
        <w:textAlignment w:val="auto"/>
        <w:rPr>
          <w:rFonts w:hint="eastAsia" w:ascii="黑体" w:hAnsi="ˎ̥" w:eastAsia="黑体"/>
          <w:sz w:val="32"/>
          <w:szCs w:val="32"/>
        </w:rPr>
      </w:pPr>
      <w:bookmarkStart w:id="115" w:name="_Toc4398_WPSOffice_Level1"/>
      <w:bookmarkStart w:id="116" w:name="_Toc8808_WPSOffice_Level1"/>
      <w:bookmarkStart w:id="117" w:name="_Toc8874_WPSOffice_Level1"/>
      <w:bookmarkStart w:id="118" w:name="_Toc17580_WPSOffice_Level1"/>
      <w:bookmarkStart w:id="119" w:name="_Toc11039_WPSOffice_Level1"/>
      <w:bookmarkStart w:id="120" w:name="_Toc15425_WPSOffice_Level1"/>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r>
        <w:rPr>
          <w:rFonts w:hint="eastAsia" w:ascii="黑体" w:hAnsi="ˎ̥" w:eastAsia="黑体"/>
          <w:sz w:val="32"/>
          <w:szCs w:val="32"/>
        </w:rPr>
        <w:t>第四部分  名词解释</w:t>
      </w:r>
      <w:bookmarkEnd w:id="115"/>
      <w:bookmarkEnd w:id="116"/>
      <w:bookmarkEnd w:id="117"/>
      <w:bookmarkEnd w:id="118"/>
      <w:bookmarkEnd w:id="119"/>
      <w:bookmarkEnd w:id="120"/>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p>
    <w:p>
      <w:pPr>
        <w:keepNext w:val="0"/>
        <w:keepLines w:val="0"/>
        <w:pageBreakBefore w:val="0"/>
        <w:widowControl w:val="0"/>
        <w:numPr>
          <w:ilvl w:val="0"/>
          <w:numId w:val="5"/>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财政拨款收入：指同级政府财政部门当年拨付的各类财政拨款。</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二、上级补助收入：指事业单位从主管部门和上级单位取得的非财政补助收入。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三、事业收入：指事业单位开展专业业务活动及辅助活动取得的收入。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四、经营收入：指事业单位在专业业务活动及其辅助活动之外开展非独立核算经营活动取得的收入。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五、附属单位上缴收入：指事业单位取得附属独立核算单位根据有关规定上缴的收入。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六、其他收入：指除上述“财政拨款收入”“事业收入”“上级补助收入”“经营收入”“附属单位上缴收入”等以外的收入。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七、使用非财政拨款结余（含专用结余）：指事业单位在当年的“财政拨款收入”“事业收入”“经营收入”“其他收入”等不足以安排当年支出的情况下，使用非同级财政拨款结余资金弥补本年度收支缺口。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八、年初结转和结余：指以前年度尚未完成、结转到本年按有关规定继续使用的资金，或项目已完成等产生的结余资金。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九、结余分配：指事业单位缴纳企业所得税以及从非财政拨款结余或经营结余中提取各类结余的情况。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十一、基本支出：指为保障机构正常运转、完成日常工作任务而发生的人员支出和公用支出。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十二、项目支出：指在基本支出之外为完成特定行政任务和事业发展目标所发生的支出。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十三、经营支出：指事业单位在专业业务活动及其辅助活动之外开展非独立核算经营活动发生的支出。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十四、“三公”经费：纳入本级财政预决算管理的“三公”经费，是指用一般公共预算财政拨款、政府性基金预算财政拨款及国有资本经营预算财政拨款安排的因公出国（境）费</w:t>
      </w:r>
      <w:r>
        <w:rPr>
          <w:rFonts w:hint="eastAsia" w:ascii="仿宋" w:hAnsi="仿宋" w:eastAsia="仿宋" w:cs="仿宋"/>
          <w:sz w:val="32"/>
          <w:szCs w:val="32"/>
          <w:highlight w:val="none"/>
          <w:lang w:eastAsia="zh-CN"/>
        </w:rPr>
        <w:t>用</w:t>
      </w:r>
      <w:r>
        <w:rPr>
          <w:rFonts w:hint="eastAsia" w:ascii="仿宋" w:hAnsi="仿宋" w:eastAsia="仿宋" w:cs="仿宋"/>
          <w:sz w:val="32"/>
          <w:szCs w:val="32"/>
          <w:highlight w:val="none"/>
        </w:rPr>
        <w:t>、公务用车购置及运行维护费和公务接待费。其中，因公出国（境）费</w:t>
      </w:r>
      <w:r>
        <w:rPr>
          <w:rFonts w:hint="eastAsia" w:ascii="仿宋" w:hAnsi="仿宋" w:eastAsia="仿宋" w:cs="仿宋"/>
          <w:sz w:val="32"/>
          <w:szCs w:val="32"/>
          <w:highlight w:val="none"/>
          <w:lang w:eastAsia="zh-CN"/>
        </w:rPr>
        <w:t>用</w:t>
      </w:r>
      <w:r>
        <w:rPr>
          <w:rFonts w:hint="eastAsia" w:ascii="仿宋" w:hAnsi="仿宋" w:eastAsia="仿宋" w:cs="仿宋"/>
          <w:sz w:val="32"/>
          <w:szCs w:val="32"/>
          <w:highlight w:val="none"/>
        </w:rPr>
        <w:t>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十六、支出功能分类：</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ascii="仿宋_GB2312" w:hAnsi="ˎ̥" w:eastAsia="仿宋_GB2312"/>
          <w:color w:val="000000"/>
          <w:sz w:val="32"/>
          <w:szCs w:val="32"/>
        </w:rPr>
      </w:pPr>
      <w:r>
        <w:rPr>
          <w:rFonts w:hint="eastAsia" w:ascii="仿宋_GB2312" w:hAnsi="ˎ̥" w:eastAsia="仿宋_GB2312"/>
          <w:color w:val="000000"/>
          <w:sz w:val="32"/>
          <w:szCs w:val="32"/>
        </w:rPr>
        <w:t>1.一般公共服务（类）财政事务（款）行政运行（项），</w:t>
      </w:r>
      <w:r>
        <w:rPr>
          <w:rFonts w:hint="eastAsia" w:ascii="仿宋_GB2312" w:hAnsi="ˎ̥" w:eastAsia="仿宋_GB2312"/>
          <w:color w:val="000000"/>
          <w:sz w:val="32"/>
          <w:szCs w:val="32"/>
          <w:lang w:eastAsia="zh-CN"/>
        </w:rPr>
        <w:t>反映行政单位（包括实行公务员管理的事业单位）</w:t>
      </w:r>
      <w:r>
        <w:rPr>
          <w:rFonts w:hint="eastAsia" w:ascii="仿宋_GB2312" w:hAnsi="ˎ̥" w:eastAsia="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eastAsia" w:ascii="仿宋_GB2312" w:hAnsi="ˎ̥" w:eastAsia="仿宋_GB2312"/>
          <w:color w:val="000000"/>
          <w:sz w:val="32"/>
          <w:szCs w:val="32"/>
          <w:lang w:eastAsia="zh-CN"/>
        </w:rPr>
      </w:pPr>
      <w:r>
        <w:rPr>
          <w:rFonts w:hint="eastAsia" w:ascii="仿宋_GB2312" w:hAnsi="ˎ̥" w:eastAsia="仿宋_GB2312"/>
          <w:color w:val="000000"/>
          <w:sz w:val="32"/>
          <w:szCs w:val="32"/>
        </w:rPr>
        <w:t>2.一般公共服务（类）财政事务（款）其他财政事务支出（项），</w:t>
      </w:r>
      <w:r>
        <w:rPr>
          <w:rFonts w:hint="eastAsia" w:ascii="仿宋_GB2312" w:hAnsi="ˎ̥" w:eastAsia="仿宋_GB2312"/>
          <w:color w:val="000000"/>
          <w:sz w:val="32"/>
          <w:szCs w:val="32"/>
          <w:lang w:eastAsia="zh-CN"/>
        </w:rPr>
        <w:t>反映除上述项目以外其他财政事务方面的支出；</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default" w:ascii="仿宋_GB2312" w:hAnsi="ˎ̥" w:eastAsia="仿宋_GB2312"/>
          <w:color w:val="000000"/>
          <w:sz w:val="32"/>
          <w:szCs w:val="32"/>
          <w:lang w:val="en-US" w:eastAsia="zh-CN"/>
        </w:rPr>
      </w:pPr>
      <w:r>
        <w:rPr>
          <w:rFonts w:hint="default" w:ascii="仿宋_GB2312" w:hAnsi="ˎ̥" w:eastAsia="仿宋_GB2312"/>
          <w:color w:val="000000"/>
          <w:sz w:val="32"/>
          <w:szCs w:val="32"/>
          <w:lang w:val="en-US" w:eastAsia="zh-CN"/>
        </w:rPr>
        <w:t>3.社会保障和就业（类）行政事业单位养老支出（款）机关事业单位基本养老保险缴费支出（项）</w:t>
      </w:r>
      <w:r>
        <w:rPr>
          <w:rFonts w:hint="eastAsia" w:ascii="仿宋_GB2312" w:hAnsi="ˎ̥" w:eastAsia="仿宋_GB2312"/>
          <w:color w:val="000000"/>
          <w:sz w:val="32"/>
          <w:szCs w:val="32"/>
          <w:lang w:val="en-US" w:eastAsia="zh-CN"/>
        </w:rPr>
        <w:t>，反映机关事业单位实施养老保险制度由单位缴纳的基本养老保险费支出；</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default" w:ascii="仿宋_GB2312" w:hAnsi="ˎ̥" w:eastAsia="仿宋_GB2312"/>
          <w:sz w:val="32"/>
          <w:szCs w:val="32"/>
          <w:lang w:val="en-US" w:eastAsia="zh-CN"/>
        </w:rPr>
      </w:pPr>
      <w:r>
        <w:rPr>
          <w:rFonts w:hint="default" w:ascii="仿宋_GB2312" w:hAnsi="ˎ̥" w:eastAsia="仿宋_GB2312"/>
          <w:color w:val="000000"/>
          <w:sz w:val="32"/>
          <w:szCs w:val="32"/>
          <w:lang w:val="en-US" w:eastAsia="zh-CN"/>
        </w:rPr>
        <w:t>4.社会保障和就业（类）行政事业单位养老支出（款）机关</w:t>
      </w:r>
      <w:r>
        <w:rPr>
          <w:rFonts w:hint="default" w:ascii="仿宋_GB2312" w:hAnsi="ˎ̥" w:eastAsia="仿宋_GB2312"/>
          <w:sz w:val="32"/>
          <w:szCs w:val="32"/>
          <w:lang w:val="en-US" w:eastAsia="zh-CN"/>
        </w:rPr>
        <w:t>事业单位职业年金缴费支出（项）</w:t>
      </w:r>
      <w:r>
        <w:rPr>
          <w:rFonts w:hint="eastAsia" w:ascii="仿宋_GB2312" w:hAnsi="ˎ̥" w:eastAsia="仿宋_GB2312"/>
          <w:sz w:val="32"/>
          <w:szCs w:val="32"/>
          <w:lang w:val="en-US" w:eastAsia="zh-CN"/>
        </w:rPr>
        <w:t>，反映机关事业单位实施养老保险制度由单位缴纳的职业年金支出（含职业年金补记支出）；</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default" w:ascii="仿宋_GB2312" w:hAnsi="ˎ̥" w:eastAsia="仿宋_GB2312"/>
          <w:sz w:val="32"/>
          <w:szCs w:val="32"/>
          <w:lang w:val="en-US" w:eastAsia="zh-CN"/>
        </w:rPr>
      </w:pPr>
      <w:r>
        <w:rPr>
          <w:rFonts w:hint="default" w:ascii="仿宋_GB2312" w:hAnsi="ˎ̥" w:eastAsia="仿宋_GB2312"/>
          <w:sz w:val="32"/>
          <w:szCs w:val="32"/>
          <w:lang w:val="en-US" w:eastAsia="zh-CN"/>
        </w:rPr>
        <w:t>5.卫生健康（类）行政事业单位医疗（款）行政单位医疗（项）</w:t>
      </w:r>
      <w:r>
        <w:rPr>
          <w:rFonts w:hint="eastAsia" w:ascii="仿宋_GB2312" w:hAnsi="ˎ̥" w:eastAsia="仿宋_GB2312"/>
          <w:sz w:val="32"/>
          <w:szCs w:val="32"/>
          <w:lang w:val="en-US" w:eastAsia="zh-CN"/>
        </w:rPr>
        <w:t>，反映财政部门安排的行政单位（</w:t>
      </w:r>
      <w:r>
        <w:rPr>
          <w:rFonts w:hint="eastAsia" w:ascii="仿宋_GB2312" w:hAnsi="ˎ̥" w:eastAsia="仿宋_GB2312"/>
          <w:sz w:val="32"/>
          <w:szCs w:val="32"/>
          <w:lang w:eastAsia="zh-CN"/>
        </w:rPr>
        <w:t>包括实行公务员管理的事业单位，下同</w:t>
      </w:r>
      <w:r>
        <w:rPr>
          <w:rFonts w:hint="eastAsia" w:ascii="仿宋_GB2312" w:hAnsi="ˎ̥" w:eastAsia="仿宋_GB2312"/>
          <w:sz w:val="32"/>
          <w:szCs w:val="32"/>
          <w:lang w:val="en-US" w:eastAsia="zh-CN"/>
        </w:rPr>
        <w:t>）基本医疗保险缴费经费，未参加医疗保险的行政单位的公费医疗经费，按国家规定享受离休人员、红军老战士待遇人员的医疗经费；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default" w:ascii="仿宋_GB2312" w:hAnsi="ˎ̥" w:eastAsia="仿宋_GB2312"/>
          <w:sz w:val="32"/>
          <w:szCs w:val="32"/>
          <w:lang w:val="en-US" w:eastAsia="zh-CN"/>
        </w:rPr>
      </w:pPr>
      <w:r>
        <w:rPr>
          <w:rFonts w:hint="default" w:ascii="仿宋_GB2312" w:hAnsi="ˎ̥" w:eastAsia="仿宋_GB2312"/>
          <w:sz w:val="32"/>
          <w:szCs w:val="32"/>
          <w:lang w:val="en-US" w:eastAsia="zh-CN"/>
        </w:rPr>
        <w:t>6.卫生健康（类）行政事业单位医疗（款）公务员医疗补助（项）</w:t>
      </w:r>
      <w:r>
        <w:rPr>
          <w:rFonts w:hint="eastAsia" w:ascii="仿宋_GB2312" w:hAnsi="ˎ̥" w:eastAsia="仿宋_GB2312"/>
          <w:sz w:val="32"/>
          <w:szCs w:val="32"/>
          <w:lang w:val="en-US" w:eastAsia="zh-CN"/>
        </w:rPr>
        <w:t>，反映财政部门安排的公务员医疗补助经费；</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default" w:ascii="仿宋_GB2312" w:hAnsi="ˎ̥" w:eastAsia="仿宋_GB2312"/>
          <w:sz w:val="32"/>
          <w:szCs w:val="32"/>
          <w:lang w:val="en-US" w:eastAsia="zh-CN"/>
        </w:rPr>
      </w:pPr>
      <w:r>
        <w:rPr>
          <w:rFonts w:hint="default" w:ascii="仿宋_GB2312" w:hAnsi="ˎ̥" w:eastAsia="仿宋_GB2312"/>
          <w:sz w:val="32"/>
          <w:szCs w:val="32"/>
          <w:lang w:val="en-US" w:eastAsia="zh-CN"/>
        </w:rPr>
        <w:t>7.住房保障（类）住房改革支出（款）住房公积金（项）</w:t>
      </w:r>
      <w:r>
        <w:rPr>
          <w:rFonts w:hint="eastAsia" w:ascii="仿宋_GB2312" w:hAnsi="ˎ̥" w:eastAsia="仿宋_GB2312"/>
          <w:sz w:val="32"/>
          <w:szCs w:val="32"/>
          <w:lang w:val="en-US" w:eastAsia="zh-CN"/>
        </w:rPr>
        <w:t>，反映行政事业单位按人力资源和社会保障部、财政部规定的基本工资和津贴补贴以及规定比例为职工缴纳的住房公积金。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578" w:lineRule="exact"/>
        <w:ind w:firstLine="420" w:firstLineChars="200"/>
        <w:textAlignment w:val="auto"/>
      </w:pPr>
    </w:p>
    <w:sectPr>
      <w:footerReference r:id="rId3" w:type="default"/>
      <w:footerReference r:id="rId4" w:type="even"/>
      <w:pgSz w:w="11906" w:h="16838"/>
      <w:pgMar w:top="2098" w:right="1474" w:bottom="130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ˎ̥">
    <w:altName w:val="微软雅黑"/>
    <w:panose1 w:val="00000000000000000000"/>
    <w:charset w:val="00"/>
    <w:family w:val="moder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方正楷体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swiss"/>
    <w:pitch w:val="default"/>
    <w:sig w:usb0="00000000" w:usb1="00000000" w:usb2="00000000" w:usb3="00000000" w:csb0="00040000" w:csb1="00000000"/>
  </w:font>
  <w:font w:name="ˎ̥">
    <w:altName w:val="微软雅黑"/>
    <w:panose1 w:val="00000000000000000000"/>
    <w:charset w:val="00"/>
    <w:family w:val="swiss"/>
    <w:pitch w:val="default"/>
    <w:sig w:usb0="00000000" w:usb1="00000000" w:usb2="00000000"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decorative"/>
    <w:pitch w:val="default"/>
    <w:sig w:usb0="00000000" w:usb1="00000000" w:usb2="00000000" w:usb3="00000000" w:csb0="00040000" w:csb1="00000000"/>
  </w:font>
  <w:font w:name="仿宋">
    <w:panose1 w:val="02010609060101010101"/>
    <w:charset w:val="86"/>
    <w:family w:val="roman"/>
    <w:pitch w:val="default"/>
    <w:sig w:usb0="800002BF" w:usb1="38CF7CFA" w:usb2="00000016" w:usb3="00000000" w:csb0="00040001" w:csb1="00000000"/>
  </w:font>
  <w:font w:name="Arial">
    <w:panose1 w:val="020B0604020202020204"/>
    <w:charset w:val="00"/>
    <w:family w:val="decorative"/>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swiss"/>
    <w:pitch w:val="default"/>
    <w:sig w:usb0="00000000" w:usb1="00000000" w:usb2="00000000" w:usb3="00000000" w:csb0="00040000" w:csb1="00000000"/>
  </w:font>
  <w:font w:name="仿宋_GB2312">
    <w:altName w:val="仿宋"/>
    <w:panose1 w:val="02010609030101010101"/>
    <w:charset w:val="86"/>
    <w:family w:val="decorative"/>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ˎ̥">
    <w:altName w:val="微软雅黑"/>
    <w:panose1 w:val="00000000000000000000"/>
    <w:charset w:val="00"/>
    <w:family w:val="decorative"/>
    <w:pitch w:val="default"/>
    <w:sig w:usb0="00000000" w:usb1="00000000" w:usb2="00000000" w:usb3="00000000" w:csb0="00040001" w:csb1="00000000"/>
  </w:font>
  <w:font w:name="楷体">
    <w:panose1 w:val="02010609060101010101"/>
    <w:charset w:val="86"/>
    <w:family w:val="roma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Arial">
    <w:panose1 w:val="020B06040202020202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黑体">
    <w:panose1 w:val="02010609060101010101"/>
    <w:charset w:val="86"/>
    <w:family w:val="swiss"/>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1"/>
        <w:rFonts w:hint="eastAsia" w:ascii="宋体" w:hAnsi="宋体" w:eastAsia="宋体" w:cs="宋体"/>
        <w:sz w:val="28"/>
        <w:szCs w:val="28"/>
      </w:rPr>
    </w:pPr>
    <w:r>
      <w:rPr>
        <w:rFonts w:hint="eastAsia" w:ascii="宋体" w:hAnsi="宋体" w:eastAsia="宋体" w:cs="宋体"/>
        <w:sz w:val="28"/>
        <w:szCs w:val="28"/>
      </w:rPr>
      <w:fldChar w:fldCharType="begin"/>
    </w:r>
    <w:r>
      <w:rPr>
        <w:rStyle w:val="11"/>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1"/>
        <w:rFonts w:hint="eastAsia" w:ascii="宋体" w:hAnsi="宋体" w:eastAsia="宋体" w:cs="宋体"/>
        <w:sz w:val="28"/>
        <w:szCs w:val="28"/>
      </w:rPr>
      <w:t>18</w:t>
    </w:r>
    <w:r>
      <w:rPr>
        <w:rFonts w:hint="eastAsia" w:ascii="宋体" w:hAnsi="宋体" w:eastAsia="宋体" w:cs="宋体"/>
        <w:sz w:val="28"/>
        <w:szCs w:val="28"/>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1"/>
      </w:rPr>
    </w:pPr>
    <w:r>
      <w:fldChar w:fldCharType="begin"/>
    </w:r>
    <w:r>
      <w:rPr>
        <w:rStyle w:val="11"/>
      </w:rPr>
      <w:instrText xml:space="preserve">PAGE  </w:instrText>
    </w:r>
    <w:r>
      <w:fldChar w:fldCharType="separate"/>
    </w:r>
    <w:r>
      <w:fldChar w:fldCharType="end"/>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732585098">
    <w:nsid w:val="DE7ABA8A"/>
    <w:multiLevelType w:val="singleLevel"/>
    <w:tmpl w:val="DE7ABA8A"/>
    <w:lvl w:ilvl="0" w:tentative="1">
      <w:start w:val="1"/>
      <w:numFmt w:val="chineseCounting"/>
      <w:suff w:val="nothing"/>
      <w:lvlText w:val="%1、"/>
      <w:lvlJc w:val="left"/>
      <w:rPr>
        <w:rFonts w:hint="eastAsia"/>
      </w:rPr>
    </w:lvl>
  </w:abstractNum>
  <w:abstractNum w:abstractNumId="1786439258">
    <w:nsid w:val="6A7AE65A"/>
    <w:multiLevelType w:val="singleLevel"/>
    <w:tmpl w:val="6A7AE65A"/>
    <w:lvl w:ilvl="0" w:tentative="1">
      <w:start w:val="1"/>
      <w:numFmt w:val="chineseCounting"/>
      <w:suff w:val="nothing"/>
      <w:lvlText w:val="%1、"/>
      <w:lvlJc w:val="left"/>
    </w:lvl>
  </w:abstractNum>
  <w:abstractNum w:abstractNumId="1724723938">
    <w:nsid w:val="66CD32E2"/>
    <w:multiLevelType w:val="singleLevel"/>
    <w:tmpl w:val="66CD32E2"/>
    <w:lvl w:ilvl="0" w:tentative="1">
      <w:start w:val="1"/>
      <w:numFmt w:val="chineseCounting"/>
      <w:suff w:val="nothing"/>
      <w:lvlText w:val="（%1）"/>
      <w:lvlJc w:val="left"/>
    </w:lvl>
  </w:abstractNum>
  <w:abstractNum w:abstractNumId="1786525836">
    <w:nsid w:val="6A7C388C"/>
    <w:multiLevelType w:val="singleLevel"/>
    <w:tmpl w:val="6A7C388C"/>
    <w:lvl w:ilvl="0" w:tentative="1">
      <w:start w:val="2"/>
      <w:numFmt w:val="chineseCounting"/>
      <w:suff w:val="nothing"/>
      <w:lvlText w:val="（%1）"/>
      <w:lvlJc w:val="left"/>
    </w:lvl>
  </w:abstractNum>
  <w:abstractNum w:abstractNumId="2952539596">
    <w:nsid w:val="AFFC2DCC"/>
    <w:multiLevelType w:val="singleLevel"/>
    <w:tmpl w:val="AFFC2DCC"/>
    <w:lvl w:ilvl="0" w:tentative="1">
      <w:start w:val="1"/>
      <w:numFmt w:val="chineseCounting"/>
      <w:suff w:val="nothing"/>
      <w:lvlText w:val="%1、"/>
      <w:lvlJc w:val="left"/>
      <w:rPr>
        <w:rFonts w:hint="eastAsia"/>
      </w:rPr>
    </w:lvl>
  </w:abstractNum>
  <w:num w:numId="1">
    <w:abstractNumId w:val="1786439258"/>
  </w:num>
  <w:num w:numId="2">
    <w:abstractNumId w:val="1724723938"/>
  </w:num>
  <w:num w:numId="3">
    <w:abstractNumId w:val="3732585098"/>
  </w:num>
  <w:num w:numId="4">
    <w:abstractNumId w:val="1786525836"/>
  </w:num>
  <w:num w:numId="5">
    <w:abstractNumId w:val="295253959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35166A0"/>
    <w:rsid w:val="03AF1619"/>
    <w:rsid w:val="04CB1139"/>
    <w:rsid w:val="06400C4E"/>
    <w:rsid w:val="080B7C62"/>
    <w:rsid w:val="08AD3DD8"/>
    <w:rsid w:val="09201287"/>
    <w:rsid w:val="0AF81AF7"/>
    <w:rsid w:val="0B8646CF"/>
    <w:rsid w:val="0F0D0E98"/>
    <w:rsid w:val="0F5B4403"/>
    <w:rsid w:val="0F64775C"/>
    <w:rsid w:val="0FC80124"/>
    <w:rsid w:val="106D0892"/>
    <w:rsid w:val="136F98C7"/>
    <w:rsid w:val="13CC1D73"/>
    <w:rsid w:val="17427E68"/>
    <w:rsid w:val="1755065F"/>
    <w:rsid w:val="17F378CF"/>
    <w:rsid w:val="1AFC29C9"/>
    <w:rsid w:val="1CA52F2E"/>
    <w:rsid w:val="1E3630B9"/>
    <w:rsid w:val="1E766B63"/>
    <w:rsid w:val="22FB1D2D"/>
    <w:rsid w:val="24013373"/>
    <w:rsid w:val="26EEC2B5"/>
    <w:rsid w:val="29472309"/>
    <w:rsid w:val="2B406E77"/>
    <w:rsid w:val="2BF67536"/>
    <w:rsid w:val="2C2A0C43"/>
    <w:rsid w:val="2C895B0F"/>
    <w:rsid w:val="2D1E73A5"/>
    <w:rsid w:val="2D984D48"/>
    <w:rsid w:val="2DAA682A"/>
    <w:rsid w:val="32717154"/>
    <w:rsid w:val="34B63260"/>
    <w:rsid w:val="37FDA7E2"/>
    <w:rsid w:val="389D2A9B"/>
    <w:rsid w:val="3A314D88"/>
    <w:rsid w:val="3A746883"/>
    <w:rsid w:val="3C211C10"/>
    <w:rsid w:val="3C8A1D00"/>
    <w:rsid w:val="3CA15DE9"/>
    <w:rsid w:val="3D0F0457"/>
    <w:rsid w:val="3DFA2EB5"/>
    <w:rsid w:val="3FD02B45"/>
    <w:rsid w:val="3FE61EE5"/>
    <w:rsid w:val="402F10C2"/>
    <w:rsid w:val="406508EE"/>
    <w:rsid w:val="408D6263"/>
    <w:rsid w:val="41B40CEE"/>
    <w:rsid w:val="42834F1E"/>
    <w:rsid w:val="45060392"/>
    <w:rsid w:val="462718B9"/>
    <w:rsid w:val="46773AE2"/>
    <w:rsid w:val="48317291"/>
    <w:rsid w:val="484D5079"/>
    <w:rsid w:val="485F7024"/>
    <w:rsid w:val="488F68F0"/>
    <w:rsid w:val="48C447EC"/>
    <w:rsid w:val="48E70666"/>
    <w:rsid w:val="4C6877E5"/>
    <w:rsid w:val="4D4E6D7A"/>
    <w:rsid w:val="4D6A468D"/>
    <w:rsid w:val="4EA86137"/>
    <w:rsid w:val="51DA7627"/>
    <w:rsid w:val="54AB6860"/>
    <w:rsid w:val="55384597"/>
    <w:rsid w:val="56031AB3"/>
    <w:rsid w:val="56B81EA5"/>
    <w:rsid w:val="56CA7FD0"/>
    <w:rsid w:val="57832294"/>
    <w:rsid w:val="57FA38D1"/>
    <w:rsid w:val="58174786"/>
    <w:rsid w:val="5A6A4AC7"/>
    <w:rsid w:val="5AB97EAE"/>
    <w:rsid w:val="5D9E1657"/>
    <w:rsid w:val="5F7D3333"/>
    <w:rsid w:val="601D7037"/>
    <w:rsid w:val="61385890"/>
    <w:rsid w:val="64CC0566"/>
    <w:rsid w:val="66CB4B3F"/>
    <w:rsid w:val="687436E1"/>
    <w:rsid w:val="6A6B4546"/>
    <w:rsid w:val="6A8E20AF"/>
    <w:rsid w:val="6DA45C50"/>
    <w:rsid w:val="6E9A7825"/>
    <w:rsid w:val="6F670F9B"/>
    <w:rsid w:val="737450E0"/>
    <w:rsid w:val="74054476"/>
    <w:rsid w:val="742F38C4"/>
    <w:rsid w:val="74AB66DC"/>
    <w:rsid w:val="74C4154C"/>
    <w:rsid w:val="75956FFF"/>
    <w:rsid w:val="778D20C9"/>
    <w:rsid w:val="77AA2D01"/>
    <w:rsid w:val="783C4637"/>
    <w:rsid w:val="793C6888"/>
    <w:rsid w:val="7CDE1DBD"/>
    <w:rsid w:val="7D943A85"/>
    <w:rsid w:val="7DB0448C"/>
    <w:rsid w:val="7E114CEE"/>
    <w:rsid w:val="7E5F9AA4"/>
    <w:rsid w:val="8FFC8888"/>
    <w:rsid w:val="A7F73C99"/>
    <w:rsid w:val="BFFE3BF4"/>
    <w:rsid w:val="DFEBDA37"/>
    <w:rsid w:val="EF6FCA1D"/>
    <w:rsid w:val="EFFF57D6"/>
    <w:rsid w:val="FD33A2D0"/>
    <w:rsid w:val="FF7FA20F"/>
    <w:rsid w:val="FFFE81A3"/>
  </w:rsid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szCs w:val="22"/>
      <w:lang w:val="en-US" w:eastAsia="zh-CN"/>
    </w:rPr>
  </w:style>
  <w:style w:type="paragraph" w:styleId="4">
    <w:name w:val="annotation subject"/>
    <w:basedOn w:val="5"/>
    <w:next w:val="5"/>
    <w:link w:val="17"/>
    <w:qFormat/>
    <w:uiPriority w:val="0"/>
    <w:rPr>
      <w:b/>
      <w:bCs/>
    </w:rPr>
  </w:style>
  <w:style w:type="paragraph" w:styleId="5">
    <w:name w:val="annotation text"/>
    <w:basedOn w:val="1"/>
    <w:link w:val="14"/>
    <w:qFormat/>
    <w:uiPriority w:val="0"/>
    <w:pPr>
      <w:jc w:val="left"/>
    </w:p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iPriority w:val="0"/>
    <w:pPr>
      <w:spacing w:before="100" w:beforeLines="0" w:beforeAutospacing="1" w:after="100" w:afterLines="0" w:afterAutospacing="1" w:line="315" w:lineRule="atLeast"/>
      <w:jc w:val="left"/>
    </w:pPr>
    <w:rPr>
      <w:rFonts w:hint="default" w:ascii="Calibri" w:hAnsi="Calibri" w:eastAsia="宋体"/>
      <w:kern w:val="0"/>
      <w:sz w:val="24"/>
    </w:rPr>
  </w:style>
  <w:style w:type="character" w:styleId="11">
    <w:name w:val="page number"/>
    <w:qFormat/>
    <w:uiPriority w:val="0"/>
  </w:style>
  <w:style w:type="character" w:styleId="12">
    <w:name w:val="annotation reference"/>
    <w:qFormat/>
    <w:uiPriority w:val="0"/>
    <w:rPr>
      <w:sz w:val="21"/>
      <w:szCs w:val="21"/>
    </w:rPr>
  </w:style>
  <w:style w:type="character" w:customStyle="1" w:styleId="14">
    <w:name w:val="批注文字 Char"/>
    <w:link w:val="5"/>
    <w:qFormat/>
    <w:uiPriority w:val="0"/>
    <w:rPr>
      <w:kern w:val="2"/>
      <w:sz w:val="21"/>
      <w:szCs w:val="24"/>
    </w:rPr>
  </w:style>
  <w:style w:type="character" w:customStyle="1" w:styleId="15">
    <w:name w:val="批注框文本 Char"/>
    <w:link w:val="6"/>
    <w:qFormat/>
    <w:uiPriority w:val="0"/>
    <w:rPr>
      <w:kern w:val="2"/>
      <w:sz w:val="18"/>
      <w:szCs w:val="18"/>
    </w:rPr>
  </w:style>
  <w:style w:type="character" w:customStyle="1" w:styleId="16">
    <w:name w:val="页眉 Char"/>
    <w:link w:val="8"/>
    <w:qFormat/>
    <w:uiPriority w:val="0"/>
    <w:rPr>
      <w:kern w:val="2"/>
      <w:sz w:val="18"/>
      <w:szCs w:val="18"/>
    </w:rPr>
  </w:style>
  <w:style w:type="character" w:customStyle="1" w:styleId="17">
    <w:name w:val="批注主题 Char"/>
    <w:link w:val="4"/>
    <w:qFormat/>
    <w:uiPriority w:val="0"/>
    <w:rPr>
      <w:b/>
      <w:bCs/>
      <w:kern w:val="2"/>
      <w:sz w:val="21"/>
      <w:szCs w:val="24"/>
    </w:rPr>
  </w:style>
  <w:style w:type="paragraph" w:customStyle="1" w:styleId="18">
    <w:name w:val="WPSOffice手动目录 1"/>
    <w:qFormat/>
    <w:uiPriority w:val="0"/>
    <w:rPr>
      <w:rFonts w:ascii="Times New Roman" w:hAnsi="Times New Roman" w:eastAsia="宋体" w:cs="Times New Roman"/>
      <w:lang w:val="en-US" w:eastAsia="zh-CN" w:bidi="ar-SA"/>
    </w:rPr>
  </w:style>
  <w:style w:type="paragraph" w:customStyle="1" w:styleId="19">
    <w:name w:val="WPSOffice手动目录 2"/>
    <w:qFormat/>
    <w:uiPriority w:val="0"/>
    <w:pPr>
      <w:ind w:leftChars="200"/>
    </w:pPr>
    <w:rPr>
      <w:rFonts w:ascii="Times New Roman" w:hAnsi="Times New Roman" w:eastAsia="宋体" w:cs="Times New Roman"/>
      <w:lang w:val="en-US" w:eastAsia="zh-CN" w:bidi="ar-SA"/>
    </w:rPr>
  </w:style>
  <w:style w:type="paragraph" w:customStyle="1" w:styleId="20">
    <w:name w:val="正文1 Char Char Char"/>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1086</Words>
  <Characters>2053</Characters>
  <Lines>67</Lines>
  <Paragraphs>18</Paragraphs>
  <ScaleCrop>false</ScaleCrop>
  <LinksUpToDate>false</LinksUpToDate>
  <CharactersWithSpaces>2089</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2024-07-24T03:26:00Z</dcterms:created>
  <dc:creator>uos</dc:creator>
  <cp:lastModifiedBy>Administrator</cp:lastModifiedBy>
  <cp:lastPrinted>2023-08-03T00:58:00Z</cp:lastPrinted>
  <dcterms:modified xsi:type="dcterms:W3CDTF">2026-08-14T01:16:00Z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03AE7F14E2DC4BACB053764200FF950D_13</vt:lpwstr>
  </property>
  <property fmtid="{D5CDD505-2E9C-101B-9397-08002B2CF9AE}" pid="4" name="KSOTemplateDocerSaveRecord">
    <vt:lpwstr>eyJoZGlkIjoiY2VlZThlZDk5ZTQ4MTFjNGY3MjIxNTdiOWMzZmQwMWMiLCJ1c2VySWQiOiIyMzQ5MTc1OTYifQ==</vt:lpwstr>
  </property>
</Properties>
</file>