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78" w:lineRule="exact"/>
        <w:jc w:val="center"/>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保亭黎族苗族自治县财政局保城财政所本级</w:t>
      </w:r>
      <w:r>
        <w:rPr>
          <w:rFonts w:hint="default" w:asciiTheme="majorEastAsia" w:hAnsiTheme="majorEastAsia" w:eastAsiaTheme="majorEastAsia" w:cstheme="majorEastAsia"/>
          <w:b/>
          <w:bCs/>
          <w:color w:val="auto"/>
          <w:sz w:val="44"/>
          <w:szCs w:val="44"/>
          <w:lang w:val="en-US"/>
        </w:rPr>
        <w:t>2025</w:t>
      </w:r>
      <w:r>
        <w:rPr>
          <w:rFonts w:hint="eastAsia" w:asciiTheme="majorEastAsia" w:hAnsiTheme="majorEastAsia" w:eastAsiaTheme="majorEastAsia" w:cstheme="majorEastAsia"/>
          <w:b/>
          <w:bCs/>
          <w:color w:val="auto"/>
          <w:sz w:val="44"/>
          <w:szCs w:val="44"/>
        </w:rPr>
        <w:t>年度部门决算公开报告</w:t>
      </w:r>
    </w:p>
    <w:p>
      <w:pPr>
        <w:spacing w:line="578" w:lineRule="exact"/>
        <w:jc w:val="center"/>
        <w:rPr>
          <w:rFonts w:hint="eastAsia" w:ascii="黑体" w:hAnsi="ˎ̥" w:eastAsia="黑体"/>
          <w:b/>
          <w:color w:val="auto"/>
          <w:sz w:val="32"/>
          <w:szCs w:val="32"/>
        </w:rPr>
      </w:pPr>
    </w:p>
    <w:p>
      <w:pPr>
        <w:spacing w:line="578" w:lineRule="exact"/>
        <w:jc w:val="center"/>
        <w:rPr>
          <w:rFonts w:hint="eastAsia" w:ascii="黑体" w:hAnsi="黑体" w:eastAsia="黑体" w:cs="黑体"/>
          <w:color w:val="auto"/>
          <w:sz w:val="44"/>
          <w:szCs w:val="44"/>
        </w:rPr>
      </w:pPr>
      <w:bookmarkStart w:id="0" w:name="_Toc11440_WPSOffice_Type2"/>
      <w:r>
        <w:rPr>
          <w:rFonts w:hint="eastAsia" w:ascii="黑体" w:hAnsi="黑体" w:eastAsia="黑体" w:cs="黑体"/>
          <w:color w:val="auto"/>
          <w:sz w:val="44"/>
          <w:szCs w:val="44"/>
        </w:rPr>
        <w:t>目  录</w:t>
      </w:r>
    </w:p>
    <w:p>
      <w:pPr>
        <w:pStyle w:val="17"/>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_Toc1704_WPSOffice_Level1 </w:instrText>
      </w:r>
      <w:r>
        <w:rPr>
          <w:color w:val="auto"/>
          <w:sz w:val="32"/>
          <w:szCs w:val="32"/>
        </w:rPr>
        <w:fldChar w:fldCharType="separate"/>
      </w:r>
      <w:r>
        <w:rPr>
          <w:rFonts w:hint="eastAsia" w:ascii="黑体" w:hAnsi="ˎ̥" w:eastAsia="黑体"/>
          <w:color w:val="auto"/>
          <w:sz w:val="32"/>
          <w:szCs w:val="32"/>
        </w:rPr>
        <w:t>第一部分 基本情况</w:t>
      </w:r>
      <w:r>
        <w:rPr>
          <w:color w:val="auto"/>
          <w:sz w:val="32"/>
          <w:szCs w:val="32"/>
        </w:rPr>
        <w:tab/>
      </w:r>
      <w:r>
        <w:rPr>
          <w:color w:val="auto"/>
          <w:sz w:val="32"/>
          <w:szCs w:val="32"/>
        </w:rPr>
        <w:fldChar w:fldCharType="end"/>
      </w:r>
      <w:r>
        <w:rPr>
          <w:rFonts w:hint="eastAsia"/>
          <w:color w:val="auto"/>
          <w:sz w:val="32"/>
          <w:szCs w:val="32"/>
        </w:rPr>
        <w:t>2</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_Toc20274_WPSOffice_Level2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一、部门（</w:t>
      </w:r>
      <w:bookmarkStart w:id="122" w:name="_GoBack"/>
      <w:bookmarkEnd w:id="122"/>
      <w:r>
        <w:rPr>
          <w:rFonts w:hint="eastAsia" w:ascii="仿宋_GB2312" w:hAnsi="仿宋" w:eastAsia="仿宋_GB2312" w:cs="Times New Roman"/>
          <w:color w:val="auto"/>
          <w:kern w:val="2"/>
          <w:sz w:val="32"/>
          <w:szCs w:val="32"/>
          <w:lang w:val="en-US" w:eastAsia="zh-CN" w:bidi="ar-SA"/>
        </w:rPr>
        <w:t>单位）职责</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2</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_Toc4833_WPSOffice_Level2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二、机构设置</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2</w:t>
      </w:r>
    </w:p>
    <w:p>
      <w:pPr>
        <w:pStyle w:val="17"/>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_Toc28253_WPSOffice_Level1 </w:instrText>
      </w:r>
      <w:r>
        <w:rPr>
          <w:color w:val="auto"/>
          <w:sz w:val="32"/>
          <w:szCs w:val="32"/>
        </w:rPr>
        <w:fldChar w:fldCharType="separate"/>
      </w: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年度部门决算公开表</w:t>
      </w:r>
      <w:r>
        <w:rPr>
          <w:color w:val="auto"/>
          <w:sz w:val="32"/>
          <w:szCs w:val="32"/>
        </w:rPr>
        <w:tab/>
      </w:r>
      <w:r>
        <w:rPr>
          <w:color w:val="auto"/>
          <w:sz w:val="32"/>
          <w:szCs w:val="32"/>
        </w:rPr>
        <w:fldChar w:fldCharType="end"/>
      </w:r>
      <w:r>
        <w:rPr>
          <w:rFonts w:hint="eastAsia"/>
          <w:color w:val="auto"/>
          <w:sz w:val="32"/>
          <w:szCs w:val="32"/>
        </w:rPr>
        <w:t>2</w:t>
      </w:r>
    </w:p>
    <w:p>
      <w:pPr>
        <w:pStyle w:val="17"/>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_Toc27590_WPSOffice_Level1 </w:instrText>
      </w:r>
      <w:r>
        <w:rPr>
          <w:color w:val="auto"/>
          <w:sz w:val="32"/>
          <w:szCs w:val="32"/>
        </w:rPr>
        <w:fldChar w:fldCharType="separate"/>
      </w:r>
      <w:r>
        <w:rPr>
          <w:rFonts w:hint="eastAsia" w:ascii="黑体" w:hAnsi="黑体" w:eastAsia="黑体" w:cs="黑体"/>
          <w:color w:val="auto"/>
          <w:sz w:val="32"/>
          <w:szCs w:val="32"/>
        </w:rPr>
        <w:t>第三部分</w:t>
      </w:r>
      <w:r>
        <w:rPr>
          <w:rFonts w:hint="eastAsia"/>
          <w:color w:val="auto"/>
          <w:sz w:val="32"/>
          <w:szCs w:val="32"/>
        </w:rPr>
        <w:t xml:space="preserve">  </w:t>
      </w:r>
      <w:r>
        <w:rPr>
          <w:rFonts w:hint="default" w:ascii="黑体" w:hAnsi="ˎ̥" w:eastAsia="黑体"/>
          <w:color w:val="auto"/>
          <w:sz w:val="32"/>
          <w:szCs w:val="32"/>
          <w:lang w:val="en-US"/>
        </w:rPr>
        <w:t>2025</w:t>
      </w:r>
      <w:r>
        <w:rPr>
          <w:rFonts w:hint="eastAsia" w:ascii="黑体" w:hAnsi="ˎ̥" w:eastAsia="黑体"/>
          <w:color w:val="auto"/>
          <w:sz w:val="32"/>
          <w:szCs w:val="32"/>
        </w:rPr>
        <w:t>年度部门决算情况说明</w:t>
      </w:r>
      <w:r>
        <w:rPr>
          <w:color w:val="auto"/>
          <w:sz w:val="32"/>
          <w:szCs w:val="32"/>
        </w:rPr>
        <w:tab/>
      </w:r>
      <w:r>
        <w:rPr>
          <w:color w:val="auto"/>
          <w:sz w:val="32"/>
          <w:szCs w:val="32"/>
        </w:rPr>
        <w:fldChar w:fldCharType="end"/>
      </w:r>
      <w:r>
        <w:rPr>
          <w:rFonts w:hint="eastAsia"/>
          <w:color w:val="auto"/>
          <w:sz w:val="32"/>
          <w:szCs w:val="32"/>
        </w:rPr>
        <w:t>3</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_Toc21737_WPSOffice_Level2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一、收入支出总体情况说明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3</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_Toc19535_WPSOffice_Level2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二、收入决算情况说明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4</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_Toc19535_WPSOffice_Level2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三、支出决算情况说明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4</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_Toc19535_WPSOffice_Level2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四、财政拨款收入支出决算总体情况说明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4</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_Toc19535_WPSOffice_Level2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五、一般公共预算财政拨款支出决算情况说明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5</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_Toc19535_WPSOffice_Level2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六、一般公共预算财政拨款基本支出决算情况说明</w:t>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t>6</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七、政府性基金预算财政拨款支出决算情况说明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t>7</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八、国有资本经营预算财政拨款支出决算情况说明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t>8</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_Toc19535_WPSOffice_Level2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九、财政拨款“三公”经费支出决算情况说明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9</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\l _Toc19535_WPSOffice_Level2 </w:instrText>
      </w:r>
      <w:r>
        <w:rPr>
          <w:rFonts w:hint="eastAsia" w:ascii="仿宋_GB2312" w:hAnsi="仿宋" w:eastAsia="仿宋_GB2312" w:cs="Times New Roman"/>
          <w:color w:val="auto"/>
          <w:kern w:val="2"/>
          <w:sz w:val="32"/>
          <w:szCs w:val="32"/>
          <w:lang w:val="en-US" w:eastAsia="zh-CN" w:bidi="ar-SA"/>
        </w:rPr>
        <w:fldChar w:fldCharType="separate"/>
      </w:r>
      <w:r>
        <w:rPr>
          <w:rFonts w:hint="eastAsia" w:ascii="仿宋_GB2312" w:hAnsi="仿宋" w:eastAsia="仿宋_GB2312" w:cs="Times New Roman"/>
          <w:color w:val="auto"/>
          <w:kern w:val="2"/>
          <w:sz w:val="32"/>
          <w:szCs w:val="32"/>
          <w:lang w:val="en-US" w:eastAsia="zh-CN" w:bidi="ar-SA"/>
        </w:rPr>
        <w:t>十、预算绩效情况说明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11</w:t>
      </w:r>
    </w:p>
    <w:p>
      <w:pPr>
        <w:pStyle w:val="18"/>
        <w:tabs>
          <w:tab w:val="right" w:leader="dot" w:pos="8306"/>
        </w:tabs>
        <w:spacing w:line="578" w:lineRule="exact"/>
        <w:ind w:leftChars="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十一、落实习惯过紧日子要求、保障重点支出情况说明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t>13</w:t>
      </w:r>
    </w:p>
    <w:p>
      <w:pPr>
        <w:pStyle w:val="18"/>
        <w:tabs>
          <w:tab w:val="right" w:leader="dot" w:pos="8306"/>
        </w:tabs>
        <w:spacing w:line="578" w:lineRule="exact"/>
        <w:ind w:leftChars="0"/>
        <w:rPr>
          <w:rFonts w:hint="default" w:ascii="仿宋" w:hAnsi="仿宋" w:eastAsia="仿宋" w:cs="仿宋"/>
          <w:color w:val="auto"/>
          <w:sz w:val="32"/>
          <w:szCs w:val="32"/>
          <w:lang w:val="en-US"/>
        </w:rPr>
      </w:pPr>
      <w:r>
        <w:rPr>
          <w:rFonts w:hint="eastAsia" w:ascii="仿宋_GB2312" w:hAnsi="仿宋" w:eastAsia="仿宋_GB2312" w:cs="Times New Roman"/>
          <w:color w:val="auto"/>
          <w:kern w:val="2"/>
          <w:sz w:val="32"/>
          <w:szCs w:val="32"/>
          <w:lang w:val="en-US" w:eastAsia="zh-CN" w:bidi="ar-SA"/>
        </w:rPr>
        <w:t>十二、其他重要事项情况说明</w:t>
      </w:r>
      <w:r>
        <w:rPr>
          <w:rFonts w:hint="eastAsia" w:ascii="仿宋_GB2312" w:hAnsi="仿宋" w:eastAsia="仿宋_GB2312" w:cs="Times New Roman"/>
          <w:color w:val="auto"/>
          <w:kern w:val="2"/>
          <w:sz w:val="32"/>
          <w:szCs w:val="32"/>
          <w:lang w:val="en-US" w:eastAsia="zh-CN" w:bidi="ar-SA"/>
        </w:rPr>
        <w:tab/>
      </w:r>
      <w:r>
        <w:rPr>
          <w:rFonts w:hint="eastAsia" w:ascii="仿宋_GB2312" w:hAnsi="仿宋" w:eastAsia="仿宋_GB2312" w:cs="Times New Roman"/>
          <w:color w:val="auto"/>
          <w:kern w:val="2"/>
          <w:sz w:val="32"/>
          <w:szCs w:val="32"/>
          <w:lang w:val="en-US" w:eastAsia="zh-CN" w:bidi="ar-SA"/>
        </w:rPr>
        <w:t>1</w:t>
      </w:r>
      <w:r>
        <w:rPr>
          <w:rFonts w:hint="default" w:ascii="仿宋_GB2312" w:hAnsi="仿宋" w:eastAsia="仿宋_GB2312" w:cs="Times New Roman"/>
          <w:color w:val="auto"/>
          <w:kern w:val="2"/>
          <w:sz w:val="32"/>
          <w:szCs w:val="32"/>
          <w:lang w:val="en-US" w:eastAsia="zh-CN" w:bidi="ar-SA"/>
        </w:rPr>
        <w:t>4</w:t>
      </w:r>
    </w:p>
    <w:p>
      <w:pPr>
        <w:pStyle w:val="17"/>
        <w:tabs>
          <w:tab w:val="right" w:leader="dot" w:pos="8306"/>
        </w:tabs>
        <w:spacing w:line="578" w:lineRule="exact"/>
        <w:rPr>
          <w:rFonts w:hint="eastAsia" w:ascii="黑体" w:hAnsi="ˎ̥"/>
          <w:b/>
          <w:color w:val="auto"/>
          <w:sz w:val="32"/>
          <w:szCs w:val="32"/>
        </w:rPr>
      </w:pPr>
      <w:r>
        <w:rPr>
          <w:color w:val="auto"/>
          <w:sz w:val="32"/>
          <w:szCs w:val="32"/>
        </w:rPr>
        <w:fldChar w:fldCharType="begin"/>
      </w:r>
      <w:r>
        <w:rPr>
          <w:color w:val="auto"/>
          <w:sz w:val="32"/>
          <w:szCs w:val="32"/>
        </w:rPr>
        <w:instrText xml:space="preserve"> HYPERLINK \l _Toc15425_WPSOffice_Level1 </w:instrText>
      </w:r>
      <w:r>
        <w:rPr>
          <w:color w:val="auto"/>
          <w:sz w:val="32"/>
          <w:szCs w:val="32"/>
        </w:rPr>
        <w:fldChar w:fldCharType="separate"/>
      </w:r>
      <w:r>
        <w:rPr>
          <w:rFonts w:hint="eastAsia" w:ascii="黑体" w:hAnsi="ˎ̥" w:eastAsia="黑体"/>
          <w:color w:val="auto"/>
          <w:sz w:val="32"/>
          <w:szCs w:val="32"/>
        </w:rPr>
        <w:t>第四部分  名词解释</w:t>
      </w:r>
      <w:r>
        <w:rPr>
          <w:color w:val="auto"/>
          <w:sz w:val="32"/>
          <w:szCs w:val="32"/>
        </w:rPr>
        <w:tab/>
      </w:r>
      <w:bookmarkStart w:id="1" w:name="_Toc15425_WPSOffice_Level1Page"/>
      <w:r>
        <w:rPr>
          <w:color w:val="auto"/>
          <w:sz w:val="32"/>
          <w:szCs w:val="32"/>
        </w:rPr>
        <w:t>1</w:t>
      </w:r>
      <w:bookmarkEnd w:id="1"/>
      <w:r>
        <w:rPr>
          <w:color w:val="auto"/>
          <w:sz w:val="32"/>
          <w:szCs w:val="32"/>
        </w:rPr>
        <w:fldChar w:fldCharType="end"/>
      </w:r>
      <w:bookmarkEnd w:id="0"/>
      <w:r>
        <w:rPr>
          <w:rFonts w:hint="eastAsia"/>
          <w:color w:val="auto"/>
          <w:sz w:val="32"/>
          <w:szCs w:val="32"/>
        </w:rPr>
        <w:t>5</w:t>
      </w:r>
    </w:p>
    <w:p>
      <w:pPr>
        <w:spacing w:line="578" w:lineRule="exact"/>
        <w:jc w:val="both"/>
        <w:rPr>
          <w:rFonts w:hint="eastAsia" w:ascii="黑体" w:hAnsi="ˎ̥" w:eastAsia="黑体"/>
          <w:color w:val="auto"/>
          <w:sz w:val="32"/>
          <w:szCs w:val="32"/>
        </w:rPr>
      </w:pPr>
      <w:bookmarkStart w:id="2" w:name="_Toc10720_WPSOffice_Level1"/>
      <w:bookmarkStart w:id="3" w:name="_Toc23465_WPSOffice_Level1"/>
      <w:bookmarkStart w:id="4" w:name="_Toc10049_WPSOffice_Level1"/>
      <w:bookmarkStart w:id="5" w:name="_Toc22941_WPSOffice_Level1"/>
      <w:bookmarkStart w:id="6" w:name="_Toc32433_WPSOffice_Level1"/>
      <w:bookmarkStart w:id="7" w:name="_Toc1704_WPSOffice_Level1"/>
      <w:bookmarkStart w:id="8" w:name="_Toc24238_WPSOffice_Level2"/>
      <w:bookmarkStart w:id="9" w:name="_Toc20274_WPSOffice_Level2"/>
      <w:bookmarkStart w:id="10" w:name="_Toc26580_WPSOffice_Level2"/>
      <w:bookmarkStart w:id="11" w:name="_Toc32622_WPSOffice_Level2"/>
      <w:bookmarkStart w:id="12" w:name="_Toc14159_WPSOffice_Level2"/>
      <w:bookmarkStart w:id="13" w:name="_Toc20205_WPSOffice_Level2"/>
    </w:p>
    <w:p>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第一部分  </w:t>
      </w:r>
      <w:bookmarkEnd w:id="2"/>
      <w:bookmarkEnd w:id="3"/>
      <w:bookmarkEnd w:id="4"/>
      <w:bookmarkEnd w:id="5"/>
      <w:bookmarkEnd w:id="6"/>
      <w:bookmarkEnd w:id="7"/>
      <w:r>
        <w:rPr>
          <w:rFonts w:hint="eastAsia" w:ascii="黑体" w:hAnsi="ˎ̥" w:eastAsia="黑体"/>
          <w:color w:val="auto"/>
          <w:sz w:val="32"/>
          <w:szCs w:val="32"/>
        </w:rPr>
        <w:t>基本情况</w:t>
      </w:r>
    </w:p>
    <w:p>
      <w:pPr>
        <w:spacing w:line="578" w:lineRule="exact"/>
        <w:ind w:firstLine="640" w:firstLineChars="200"/>
        <w:rPr>
          <w:rFonts w:hint="eastAsia" w:ascii="楷体" w:hAnsi="楷体" w:eastAsia="楷体" w:cs="楷体"/>
          <w:color w:val="auto"/>
          <w:sz w:val="32"/>
          <w:szCs w:val="32"/>
        </w:rPr>
      </w:pPr>
    </w:p>
    <w:p>
      <w:pPr>
        <w:numPr>
          <w:ilvl w:val="0"/>
          <w:numId w:val="1"/>
        </w:numPr>
        <w:spacing w:line="578"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部门</w:t>
      </w:r>
      <w:bookmarkEnd w:id="8"/>
      <w:r>
        <w:rPr>
          <w:rFonts w:hint="eastAsia" w:ascii="黑体" w:hAnsi="黑体" w:eastAsia="黑体" w:cs="黑体"/>
          <w:color w:val="auto"/>
          <w:sz w:val="32"/>
          <w:szCs w:val="32"/>
        </w:rPr>
        <w:t>（单位）职责</w:t>
      </w:r>
      <w:bookmarkEnd w:id="9"/>
      <w:bookmarkEnd w:id="10"/>
      <w:bookmarkEnd w:id="11"/>
      <w:bookmarkEnd w:id="12"/>
      <w:bookmarkEnd w:id="13"/>
    </w:p>
    <w:p>
      <w:pPr>
        <w:snapToGrid w:val="0"/>
        <w:spacing w:line="520" w:lineRule="exact"/>
        <w:ind w:firstLine="640" w:firstLineChars="200"/>
        <w:rPr>
          <w:rFonts w:hint="eastAsia" w:ascii="仿宋_GB2312" w:hAnsi="仿宋" w:eastAsia="仿宋_GB2312"/>
          <w:color w:val="auto"/>
          <w:sz w:val="32"/>
          <w:szCs w:val="32"/>
        </w:rPr>
      </w:pPr>
      <w:bookmarkStart w:id="14" w:name="_Toc17796_WPSOffice_Level2"/>
      <w:bookmarkStart w:id="15" w:name="_Toc6572_WPSOffice_Level2"/>
      <w:bookmarkStart w:id="16" w:name="_Toc4833_WPSOffice_Level2"/>
      <w:bookmarkStart w:id="17" w:name="_Toc24474_WPSOffice_Level2"/>
      <w:bookmarkStart w:id="18" w:name="_Toc24059_WPSOffice_Level2"/>
      <w:r>
        <w:rPr>
          <w:rFonts w:hint="eastAsia" w:ascii="仿宋_GB2312" w:hAnsi="仿宋" w:eastAsia="仿宋_GB2312"/>
          <w:color w:val="auto"/>
          <w:sz w:val="32"/>
          <w:szCs w:val="32"/>
        </w:rPr>
        <w:t>（一）贯彻执行中央财政工作的法律法规、相关政策和省委、县委有关工作要求，严格执行财经制度及各项财务管理制度，落实财政高质量发展规划及其有关措施。</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（二）负责对乡镇财政、财务、会计活动监督；负责健全乡镇财会监督机制。</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三）负责农村集体经济组织资金、资产、资源（以下简称“三资”）监管，规范农村集体经济组织财务收支行为，定期抽查农村集体经济组织资金管理使用情况；负责农村集体经济组织债务监督，防范财政风险和新增不良债务。</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（四）负责全县农村集体经济组织会计委托代理服务，审核农村集体经济组织“三资”原始凭证和资金拨付，做好会计核算有关工作；负责对农村集体经济组织“三资”情况的会计监督。</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（五）负责乡镇预算单位的财务和国有资产监管。</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（六）负责乡镇学校会计核算、财务报告编制和审核；协助编制全县综合财务报告，参与预算单位预决算编制。</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（七）协助乡镇政府开展城乡居民医疗保险等代理征收工作。    </w:t>
      </w:r>
    </w:p>
    <w:p>
      <w:pPr>
        <w:snapToGrid w:val="0"/>
        <w:spacing w:line="520" w:lineRule="exact"/>
        <w:ind w:firstLine="640" w:firstLineChars="200"/>
        <w:rPr>
          <w:rFonts w:hint="eastAsia" w:ascii="黑体" w:hAnsi="黑体" w:eastAsia="黑体" w:cs="黑体"/>
          <w:color w:val="auto"/>
          <w:sz w:val="32"/>
          <w:szCs w:val="32"/>
        </w:rPr>
      </w:pPr>
      <w:r>
        <w:rPr>
          <w:rFonts w:hint="eastAsia" w:ascii="仿宋_GB2312" w:hAnsi="仿宋" w:eastAsia="仿宋_GB2312"/>
          <w:color w:val="auto"/>
          <w:sz w:val="32"/>
          <w:szCs w:val="32"/>
        </w:rPr>
        <w:t>(</w:t>
      </w:r>
      <w:r>
        <w:rPr>
          <w:rFonts w:hint="eastAsia" w:ascii="仿宋_GB2312" w:hAnsi="仿宋" w:eastAsia="仿宋_GB2312"/>
          <w:color w:val="auto"/>
          <w:sz w:val="32"/>
          <w:szCs w:val="32"/>
          <w:lang w:val="en-US" w:eastAsia="zh-CN"/>
        </w:rPr>
        <w:t>八</w:t>
      </w:r>
      <w:r>
        <w:rPr>
          <w:rFonts w:hint="eastAsia" w:ascii="仿宋_GB2312" w:hAnsi="仿宋" w:eastAsia="仿宋_GB2312"/>
          <w:color w:val="auto"/>
          <w:sz w:val="32"/>
          <w:szCs w:val="32"/>
        </w:rPr>
        <w:t>)承办乡镇党委、政府和上级财政部门交办的其他工作。</w:t>
      </w:r>
      <w:r>
        <w:rPr>
          <w:rFonts w:hint="eastAsia" w:ascii="黑体" w:hAnsi="黑体" w:eastAsia="黑体" w:cs="黑体"/>
          <w:color w:val="auto"/>
          <w:sz w:val="32"/>
          <w:szCs w:val="32"/>
        </w:rPr>
        <w:t>二、机构设置</w:t>
      </w:r>
      <w:bookmarkEnd w:id="14"/>
      <w:bookmarkEnd w:id="15"/>
      <w:bookmarkEnd w:id="16"/>
      <w:bookmarkEnd w:id="17"/>
      <w:bookmarkEnd w:id="18"/>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纳入</w:t>
      </w:r>
      <w:r>
        <w:rPr>
          <w:rFonts w:hint="eastAsia" w:ascii="仿宋_GB2312" w:hAnsi="仿宋" w:eastAsia="仿宋_GB2312"/>
          <w:color w:val="auto"/>
          <w:sz w:val="32"/>
          <w:szCs w:val="32"/>
          <w:lang w:val="en-US"/>
        </w:rPr>
        <w:t>保亭黎族苗族自治县财政局保城镇财政所2025</w:t>
      </w:r>
      <w:r>
        <w:rPr>
          <w:rFonts w:hint="eastAsia" w:ascii="仿宋_GB2312" w:hAnsi="仿宋" w:eastAsia="仿宋_GB2312"/>
          <w:color w:val="auto"/>
          <w:sz w:val="32"/>
          <w:szCs w:val="32"/>
        </w:rPr>
        <w:t>年度部门决算编制范围的单位共</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个，包括：</w:t>
      </w:r>
    </w:p>
    <w:p>
      <w:pPr>
        <w:numPr>
          <w:ilvl w:val="0"/>
          <w:numId w:val="2"/>
        </w:numPr>
        <w:spacing w:line="578" w:lineRule="exact"/>
        <w:ind w:firstLine="640" w:firstLineChars="200"/>
        <w:rPr>
          <w:rFonts w:hint="eastAsia" w:ascii="方正楷体_GBK" w:hAnsi="方正楷体_GBK" w:eastAsia="方正楷体_GBK" w:cs="方正楷体_GBK"/>
          <w:color w:val="auto"/>
          <w:sz w:val="32"/>
          <w:szCs w:val="32"/>
        </w:rPr>
      </w:pPr>
      <w:bookmarkStart w:id="19" w:name="_Toc25738_WPSOffice_Level2"/>
      <w:bookmarkStart w:id="20" w:name="_Toc24421_WPSOffice_Level2"/>
      <w:r>
        <w:rPr>
          <w:rFonts w:hint="eastAsia" w:ascii="方正楷体_GBK" w:hAnsi="方正楷体_GBK" w:eastAsia="方正楷体_GBK" w:cs="方正楷体_GBK"/>
          <w:color w:val="auto"/>
          <w:sz w:val="32"/>
          <w:szCs w:val="32"/>
          <w:lang w:val="en-US" w:eastAsia="zh-CN"/>
        </w:rPr>
        <w:t>保城财政所</w:t>
      </w:r>
      <w:r>
        <w:rPr>
          <w:rFonts w:hint="eastAsia" w:ascii="方正楷体_GBK" w:hAnsi="方正楷体_GBK" w:eastAsia="方正楷体_GBK" w:cs="方正楷体_GBK"/>
          <w:color w:val="auto"/>
          <w:sz w:val="32"/>
          <w:szCs w:val="32"/>
        </w:rPr>
        <w:t>部门本级</w:t>
      </w:r>
      <w:bookmarkEnd w:id="19"/>
      <w:bookmarkEnd w:id="20"/>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共设</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个岗位，财政监督岗、财务管理岗、保险缴费征收管理岗、惠民资金管理岗。</w:t>
      </w:r>
    </w:p>
    <w:p>
      <w:pPr>
        <w:spacing w:line="578" w:lineRule="exact"/>
        <w:jc w:val="center"/>
        <w:rPr>
          <w:rFonts w:hint="eastAsia" w:ascii="黑体" w:hAnsi="ˎ̥" w:eastAsia="黑体"/>
          <w:color w:val="auto"/>
          <w:sz w:val="32"/>
          <w:szCs w:val="32"/>
        </w:rPr>
      </w:pPr>
      <w:bookmarkStart w:id="21" w:name="_Toc30690_WPSOffice_Level1"/>
      <w:bookmarkStart w:id="22" w:name="_Toc15521_WPSOffice_Level1"/>
      <w:bookmarkStart w:id="23" w:name="_Toc6234_WPSOffice_Level1"/>
      <w:bookmarkStart w:id="24" w:name="_Toc30451_WPSOffice_Level1"/>
      <w:bookmarkStart w:id="25" w:name="_Toc28253_WPSOffice_Level1"/>
      <w:bookmarkStart w:id="26" w:name="_Toc8164_WPSOffice_Level1"/>
      <w:bookmarkStart w:id="27" w:name="_Toc32695_WPSOffice_Level2"/>
      <w:bookmarkStart w:id="28" w:name="_Toc4029_WPSOffice_Level2"/>
      <w:bookmarkStart w:id="29" w:name="_Toc8867_WPSOffice_Level2"/>
      <w:bookmarkStart w:id="30" w:name="_Toc32472_WPSOffice_Level2"/>
      <w:bookmarkStart w:id="31" w:name="_Toc11518_WPSOffice_Level2"/>
      <w:bookmarkStart w:id="32" w:name="_Toc6211_WPSOffice_Level2"/>
    </w:p>
    <w:p>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年度部门决算公开报表</w:t>
      </w:r>
      <w:bookmarkEnd w:id="21"/>
      <w:bookmarkEnd w:id="22"/>
      <w:bookmarkEnd w:id="23"/>
      <w:bookmarkEnd w:id="24"/>
      <w:bookmarkEnd w:id="25"/>
      <w:bookmarkEnd w:id="26"/>
    </w:p>
    <w:p>
      <w:pPr>
        <w:spacing w:line="578" w:lineRule="exact"/>
        <w:ind w:firstLine="645"/>
        <w:rPr>
          <w:rFonts w:hint="eastAsia" w:ascii="黑体" w:hAnsi="黑体" w:eastAsia="黑体" w:cs="黑体"/>
          <w:color w:val="auto"/>
          <w:sz w:val="32"/>
          <w:szCs w:val="32"/>
        </w:rPr>
      </w:pPr>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一、收入支出决算公开表</w:t>
      </w:r>
      <w:bookmarkEnd w:id="27"/>
      <w:bookmarkEnd w:id="28"/>
      <w:bookmarkEnd w:id="29"/>
      <w:bookmarkEnd w:id="30"/>
      <w:bookmarkEnd w:id="31"/>
      <w:bookmarkEnd w:id="32"/>
    </w:p>
    <w:p>
      <w:pPr>
        <w:spacing w:line="578" w:lineRule="exact"/>
        <w:ind w:firstLine="645"/>
        <w:rPr>
          <w:rFonts w:hint="eastAsia" w:ascii="黑体" w:hAnsi="黑体" w:eastAsia="黑体" w:cs="黑体"/>
          <w:color w:val="auto"/>
          <w:sz w:val="32"/>
          <w:szCs w:val="32"/>
        </w:rPr>
      </w:pPr>
      <w:bookmarkStart w:id="33" w:name="_Toc25608_WPSOffice_Level2"/>
      <w:bookmarkStart w:id="34" w:name="_Toc26621_WPSOffice_Level2"/>
      <w:bookmarkStart w:id="35" w:name="_Toc14349_WPSOffice_Level2"/>
      <w:bookmarkStart w:id="36" w:name="_Toc30334_WPSOffice_Level2"/>
      <w:bookmarkStart w:id="37" w:name="_Toc23139_WPSOffice_Level2"/>
      <w:bookmarkStart w:id="38" w:name="_Toc28622_WPSOffice_Level2"/>
      <w:r>
        <w:rPr>
          <w:rFonts w:hint="eastAsia" w:ascii="黑体" w:hAnsi="黑体" w:eastAsia="黑体" w:cs="黑体"/>
          <w:color w:val="auto"/>
          <w:sz w:val="32"/>
          <w:szCs w:val="32"/>
        </w:rPr>
        <w:t>二、收入决算公开表</w:t>
      </w:r>
      <w:bookmarkEnd w:id="33"/>
      <w:bookmarkEnd w:id="34"/>
      <w:bookmarkEnd w:id="35"/>
      <w:bookmarkEnd w:id="36"/>
      <w:bookmarkEnd w:id="37"/>
      <w:bookmarkEnd w:id="38"/>
      <w:bookmarkStart w:id="39" w:name="_Toc5489_WPSOffice_Level2"/>
      <w:bookmarkStart w:id="40" w:name="_Toc17626_WPSOffice_Level2"/>
      <w:bookmarkStart w:id="41" w:name="_Toc13854_WPSOffice_Level2"/>
      <w:bookmarkStart w:id="42" w:name="_Toc14658_WPSOffice_Level2"/>
      <w:bookmarkStart w:id="43" w:name="_Toc3262_WPSOffice_Level2"/>
      <w:bookmarkStart w:id="44" w:name="_Toc17858_WPSOffice_Level2"/>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三、支出决算公开表</w:t>
      </w:r>
      <w:bookmarkEnd w:id="39"/>
      <w:bookmarkEnd w:id="40"/>
      <w:bookmarkEnd w:id="41"/>
      <w:bookmarkEnd w:id="42"/>
      <w:bookmarkEnd w:id="43"/>
      <w:bookmarkEnd w:id="44"/>
      <w:bookmarkStart w:id="45" w:name="_Toc7988_WPSOffice_Level2"/>
      <w:bookmarkStart w:id="46" w:name="_Toc23591_WPSOffice_Level2"/>
      <w:bookmarkStart w:id="47" w:name="_Toc13701_WPSOffice_Level2"/>
      <w:bookmarkStart w:id="48" w:name="_Toc23493_WPSOffice_Level2"/>
      <w:bookmarkStart w:id="49" w:name="_Toc4265_WPSOffice_Level2"/>
      <w:bookmarkStart w:id="50" w:name="_Toc21415_WPSOffice_Level2"/>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四、财政拨款收入支出决算公开表</w:t>
      </w:r>
      <w:bookmarkEnd w:id="45"/>
      <w:bookmarkEnd w:id="46"/>
      <w:bookmarkEnd w:id="47"/>
      <w:bookmarkEnd w:id="48"/>
      <w:bookmarkEnd w:id="49"/>
      <w:bookmarkEnd w:id="50"/>
    </w:p>
    <w:p>
      <w:pPr>
        <w:spacing w:line="578" w:lineRule="exact"/>
        <w:ind w:firstLine="645"/>
        <w:rPr>
          <w:rFonts w:hint="eastAsia" w:ascii="黑体" w:hAnsi="黑体" w:eastAsia="黑体" w:cs="黑体"/>
          <w:color w:val="auto"/>
          <w:sz w:val="32"/>
          <w:szCs w:val="32"/>
        </w:rPr>
      </w:pPr>
      <w:bookmarkStart w:id="51" w:name="_Toc22783_WPSOffice_Level2"/>
      <w:bookmarkStart w:id="52" w:name="_Toc23829_WPSOffice_Level2"/>
      <w:bookmarkStart w:id="53" w:name="_Toc25166_WPSOffice_Level2"/>
      <w:bookmarkStart w:id="54" w:name="_Toc7879_WPSOffice_Level2"/>
      <w:bookmarkStart w:id="55" w:name="_Toc13516_WPSOffice_Level2"/>
      <w:bookmarkStart w:id="56" w:name="_Toc2158_WPSOffice_Level2"/>
      <w:r>
        <w:rPr>
          <w:rFonts w:hint="eastAsia" w:ascii="黑体" w:hAnsi="黑体" w:eastAsia="黑体" w:cs="黑体"/>
          <w:color w:val="auto"/>
          <w:sz w:val="32"/>
          <w:szCs w:val="32"/>
        </w:rPr>
        <w:t>五、一般公共预算财政拨款收入支出决算</w:t>
      </w:r>
      <w:bookmarkEnd w:id="51"/>
      <w:bookmarkEnd w:id="52"/>
      <w:bookmarkEnd w:id="53"/>
      <w:bookmarkEnd w:id="54"/>
      <w:r>
        <w:rPr>
          <w:rFonts w:hint="eastAsia" w:ascii="黑体" w:hAnsi="黑体" w:eastAsia="黑体" w:cs="黑体"/>
          <w:color w:val="auto"/>
          <w:sz w:val="32"/>
          <w:szCs w:val="32"/>
        </w:rPr>
        <w:t>公开表</w:t>
      </w:r>
      <w:bookmarkEnd w:id="55"/>
      <w:bookmarkEnd w:id="56"/>
      <w:bookmarkStart w:id="57" w:name="_Toc17283_WPSOffice_Level2"/>
      <w:bookmarkStart w:id="58" w:name="_Toc17833_WPSOffice_Level2"/>
      <w:bookmarkStart w:id="59" w:name="_Toc8373_WPSOffice_Level2"/>
      <w:bookmarkStart w:id="60" w:name="_Toc5343_WPSOffice_Level2"/>
      <w:bookmarkStart w:id="61" w:name="_Toc2632_WPSOffice_Level2"/>
      <w:bookmarkStart w:id="62" w:name="_Toc25362_WPSOffice_Level2"/>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六、一般公共预算财政拨款基本支出决算</w:t>
      </w:r>
      <w:bookmarkEnd w:id="57"/>
      <w:bookmarkEnd w:id="58"/>
      <w:bookmarkEnd w:id="59"/>
      <w:bookmarkEnd w:id="60"/>
      <w:bookmarkEnd w:id="61"/>
      <w:bookmarkEnd w:id="62"/>
      <w:r>
        <w:rPr>
          <w:rFonts w:hint="eastAsia" w:ascii="黑体" w:hAnsi="黑体" w:eastAsia="黑体" w:cs="黑体"/>
          <w:color w:val="auto"/>
          <w:sz w:val="32"/>
          <w:szCs w:val="32"/>
        </w:rPr>
        <w:t>公开表</w:t>
      </w:r>
    </w:p>
    <w:p>
      <w:pPr>
        <w:spacing w:line="578" w:lineRule="exact"/>
        <w:ind w:left="1118" w:leftChars="304" w:hanging="480" w:hangingChars="150"/>
        <w:rPr>
          <w:rFonts w:hint="eastAsia" w:ascii="黑体" w:hAnsi="黑体" w:eastAsia="黑体" w:cs="黑体"/>
          <w:color w:val="auto"/>
          <w:sz w:val="32"/>
          <w:szCs w:val="32"/>
        </w:rPr>
      </w:pPr>
      <w:bookmarkStart w:id="63" w:name="_Toc1533_WPSOffice_Level2"/>
      <w:bookmarkStart w:id="64" w:name="_Toc13345_WPSOffice_Level2"/>
      <w:bookmarkStart w:id="65" w:name="_Toc6020_WPSOffice_Level2"/>
      <w:bookmarkStart w:id="66" w:name="_Toc21310_WPSOffice_Level2"/>
      <w:bookmarkStart w:id="67" w:name="_Toc5594_WPSOffice_Level2"/>
      <w:bookmarkStart w:id="68" w:name="_Toc11799_WPSOffice_Level2"/>
      <w:r>
        <w:rPr>
          <w:rFonts w:hint="eastAsia" w:ascii="黑体" w:hAnsi="黑体" w:eastAsia="黑体" w:cs="黑体"/>
          <w:color w:val="auto"/>
          <w:sz w:val="32"/>
          <w:szCs w:val="32"/>
        </w:rPr>
        <w:t>七、政府性基金预算财政拨款收入支出决算</w:t>
      </w:r>
      <w:bookmarkEnd w:id="63"/>
      <w:bookmarkEnd w:id="64"/>
      <w:bookmarkEnd w:id="65"/>
      <w:bookmarkEnd w:id="66"/>
      <w:bookmarkEnd w:id="67"/>
      <w:bookmarkEnd w:id="68"/>
      <w:r>
        <w:rPr>
          <w:rFonts w:hint="eastAsia" w:ascii="黑体" w:hAnsi="黑体" w:eastAsia="黑体" w:cs="黑体"/>
          <w:color w:val="auto"/>
          <w:sz w:val="32"/>
          <w:szCs w:val="32"/>
        </w:rPr>
        <w:t>公开表</w:t>
      </w:r>
    </w:p>
    <w:p>
      <w:pPr>
        <w:spacing w:line="578" w:lineRule="exact"/>
        <w:ind w:left="1118" w:leftChars="304" w:hanging="480" w:hangingChars="150"/>
        <w:rPr>
          <w:rFonts w:hint="eastAsia" w:ascii="黑体" w:hAnsi="黑体" w:eastAsia="黑体" w:cs="黑体"/>
          <w:color w:val="auto"/>
          <w:sz w:val="32"/>
          <w:szCs w:val="32"/>
        </w:rPr>
      </w:pPr>
      <w:r>
        <w:rPr>
          <w:rFonts w:hint="eastAsia" w:ascii="黑体" w:hAnsi="黑体" w:eastAsia="黑体" w:cs="黑体"/>
          <w:color w:val="auto"/>
          <w:sz w:val="32"/>
          <w:szCs w:val="32"/>
        </w:rPr>
        <w:t>八、国有资本经营预算财政拨款收入支出决算公开表</w:t>
      </w:r>
    </w:p>
    <w:p>
      <w:pPr>
        <w:spacing w:line="578" w:lineRule="exact"/>
        <w:ind w:firstLine="640"/>
        <w:rPr>
          <w:rFonts w:hint="eastAsia" w:ascii="黑体" w:hAnsi="黑体" w:eastAsia="黑体" w:cs="黑体"/>
          <w:color w:val="auto"/>
          <w:sz w:val="32"/>
          <w:szCs w:val="32"/>
        </w:rPr>
      </w:pPr>
      <w:bookmarkStart w:id="69" w:name="_Toc1820_WPSOffice_Level2"/>
      <w:bookmarkStart w:id="70" w:name="_Toc9377_WPSOffice_Level2"/>
      <w:bookmarkStart w:id="71" w:name="_Toc29886_WPSOffice_Level2"/>
      <w:bookmarkStart w:id="72" w:name="_Toc19961_WPSOffice_Level2"/>
      <w:r>
        <w:rPr>
          <w:rFonts w:hint="eastAsia" w:ascii="黑体" w:hAnsi="黑体" w:eastAsia="黑体" w:cs="黑体"/>
          <w:color w:val="auto"/>
          <w:sz w:val="32"/>
          <w:szCs w:val="32"/>
        </w:rPr>
        <w:t>九、财政拨款“三公”经费支出决算</w:t>
      </w:r>
      <w:bookmarkEnd w:id="69"/>
      <w:bookmarkEnd w:id="70"/>
      <w:bookmarkEnd w:id="71"/>
      <w:bookmarkEnd w:id="72"/>
      <w:r>
        <w:rPr>
          <w:rFonts w:hint="eastAsia" w:ascii="黑体" w:hAnsi="黑体" w:eastAsia="黑体" w:cs="黑体"/>
          <w:color w:val="auto"/>
          <w:sz w:val="32"/>
          <w:szCs w:val="32"/>
        </w:rPr>
        <w:t>公开表</w:t>
      </w:r>
    </w:p>
    <w:p>
      <w:pPr>
        <w:spacing w:line="578" w:lineRule="exact"/>
        <w:ind w:firstLine="640"/>
        <w:rPr>
          <w:rFonts w:hint="eastAsia" w:ascii="仿宋" w:hAnsi="仿宋" w:eastAsia="仿宋" w:cs="仿宋"/>
          <w:color w:val="auto"/>
          <w:w w:val="100"/>
          <w:sz w:val="32"/>
          <w:szCs w:val="32"/>
        </w:rPr>
      </w:pPr>
      <w:r>
        <w:rPr>
          <w:rFonts w:hint="eastAsia" w:ascii="仿宋_GB2312" w:hAnsi="仿宋" w:eastAsia="仿宋_GB2312"/>
          <w:color w:val="auto"/>
          <w:sz w:val="32"/>
          <w:szCs w:val="32"/>
        </w:rPr>
        <w:t xml:space="preserve">以上报表见附件1。 </w:t>
      </w:r>
      <w:r>
        <w:rPr>
          <w:rFonts w:hint="eastAsia" w:ascii="仿宋" w:hAnsi="仿宋" w:eastAsia="仿宋" w:cs="仿宋"/>
          <w:color w:val="auto"/>
          <w:w w:val="100"/>
          <w:sz w:val="32"/>
          <w:szCs w:val="32"/>
        </w:rPr>
        <w:t xml:space="preserve">  </w:t>
      </w:r>
    </w:p>
    <w:p>
      <w:pPr>
        <w:spacing w:line="578" w:lineRule="exact"/>
        <w:rPr>
          <w:rFonts w:hint="eastAsia" w:ascii="黑体" w:hAnsi="黑体" w:eastAsia="黑体" w:cs="黑体"/>
          <w:color w:val="auto"/>
          <w:sz w:val="32"/>
          <w:szCs w:val="32"/>
        </w:rPr>
      </w:pPr>
    </w:p>
    <w:p>
      <w:pPr>
        <w:spacing w:line="578" w:lineRule="exact"/>
        <w:jc w:val="center"/>
        <w:rPr>
          <w:rFonts w:hint="eastAsia" w:ascii="黑体" w:hAnsi="ˎ̥" w:eastAsia="黑体"/>
          <w:color w:val="auto"/>
          <w:sz w:val="32"/>
          <w:szCs w:val="32"/>
        </w:rPr>
      </w:pPr>
      <w:bookmarkStart w:id="73" w:name="_Toc27590_WPSOffice_Level1"/>
      <w:bookmarkStart w:id="74" w:name="_Toc29683_WPSOffice_Level1"/>
      <w:bookmarkStart w:id="75" w:name="_Toc31264_WPSOffice_Level1"/>
      <w:bookmarkStart w:id="76" w:name="_Toc16686_WPSOffice_Level1"/>
      <w:bookmarkStart w:id="77" w:name="_Toc4402_WPSOffice_Level1"/>
      <w:bookmarkStart w:id="78" w:name="_Toc28629_WPSOffice_Level1"/>
      <w:r>
        <w:rPr>
          <w:rFonts w:hint="eastAsia" w:ascii="黑体" w:hAnsi="ˎ̥" w:eastAsia="黑体"/>
          <w:color w:val="auto"/>
          <w:sz w:val="32"/>
          <w:szCs w:val="32"/>
        </w:rPr>
        <w:t xml:space="preserve">第三部分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年度部门决算情况说明</w:t>
      </w:r>
      <w:bookmarkEnd w:id="73"/>
      <w:bookmarkEnd w:id="74"/>
      <w:bookmarkEnd w:id="75"/>
      <w:bookmarkEnd w:id="76"/>
      <w:bookmarkEnd w:id="77"/>
      <w:bookmarkEnd w:id="78"/>
    </w:p>
    <w:p>
      <w:pPr>
        <w:spacing w:line="578" w:lineRule="exact"/>
        <w:jc w:val="center"/>
        <w:rPr>
          <w:rFonts w:hint="eastAsia" w:ascii="黑体" w:hAnsi="ˎ̥" w:eastAsia="黑体"/>
          <w:color w:val="auto"/>
          <w:sz w:val="32"/>
          <w:szCs w:val="32"/>
        </w:rPr>
      </w:pP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收入支出总体情况说明</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val="en-US"/>
        </w:rPr>
        <w:t>2025</w:t>
      </w:r>
      <w:r>
        <w:rPr>
          <w:rFonts w:hint="eastAsia" w:ascii="仿宋_GB2312" w:hAnsi="仿宋" w:eastAsia="仿宋_GB2312"/>
          <w:color w:val="auto"/>
          <w:sz w:val="32"/>
          <w:szCs w:val="32"/>
        </w:rPr>
        <w:t>年度收入总计</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lang w:val="en-US" w:eastAsia="zh-CN"/>
        </w:rPr>
        <w:tab/>
      </w:r>
      <w:r>
        <w:rPr>
          <w:rFonts w:hint="eastAsia" w:ascii="仿宋_GB2312" w:hAnsi="仿宋" w:eastAsia="仿宋_GB2312"/>
          <w:color w:val="auto"/>
          <w:sz w:val="32"/>
          <w:szCs w:val="32"/>
        </w:rPr>
        <w:t>万元，支出总计</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rPr>
        <w:t>万元，与</w:t>
      </w:r>
      <w:r>
        <w:rPr>
          <w:rFonts w:hint="eastAsia" w:ascii="仿宋_GB2312" w:hAnsi="仿宋" w:eastAsia="仿宋_GB2312"/>
          <w:color w:val="auto"/>
          <w:sz w:val="32"/>
          <w:szCs w:val="32"/>
          <w:lang w:val="en-US"/>
        </w:rPr>
        <w:t>2024</w:t>
      </w:r>
      <w:r>
        <w:rPr>
          <w:rFonts w:hint="eastAsia" w:ascii="仿宋_GB2312" w:hAnsi="仿宋" w:eastAsia="仿宋_GB2312"/>
          <w:color w:val="auto"/>
          <w:sz w:val="32"/>
          <w:szCs w:val="32"/>
        </w:rPr>
        <w:t>年度相比，收入、支出总计各</w:t>
      </w:r>
      <w:r>
        <w:rPr>
          <w:rFonts w:hint="eastAsia" w:ascii="仿宋_GB2312" w:hAnsi="仿宋" w:eastAsia="仿宋_GB2312"/>
          <w:color w:val="auto"/>
          <w:sz w:val="32"/>
          <w:szCs w:val="32"/>
          <w:lang w:val="en-US" w:eastAsia="zh-CN"/>
        </w:rPr>
        <w:t>减少117.89</w:t>
      </w:r>
      <w:r>
        <w:rPr>
          <w:rFonts w:hint="eastAsia" w:ascii="仿宋_GB2312" w:hAnsi="仿宋" w:eastAsia="仿宋_GB2312"/>
          <w:color w:val="auto"/>
          <w:sz w:val="32"/>
          <w:szCs w:val="32"/>
        </w:rPr>
        <w:t>万元，下降</w:t>
      </w:r>
      <w:r>
        <w:rPr>
          <w:rFonts w:hint="eastAsia" w:ascii="仿宋_GB2312" w:hAnsi="仿宋" w:eastAsia="仿宋_GB2312"/>
          <w:color w:val="auto"/>
          <w:sz w:val="32"/>
          <w:szCs w:val="32"/>
          <w:lang w:val="en-US" w:eastAsia="zh-CN"/>
        </w:rPr>
        <w:t>61.47</w:t>
      </w:r>
      <w:r>
        <w:rPr>
          <w:rFonts w:hint="eastAsia" w:ascii="仿宋_GB2312" w:hAnsi="仿宋" w:eastAsia="仿宋_GB2312"/>
          <w:color w:val="auto"/>
          <w:sz w:val="32"/>
          <w:szCs w:val="32"/>
        </w:rPr>
        <w:t>%。主要原因：一是一般公共服务支出减少</w:t>
      </w:r>
      <w:r>
        <w:rPr>
          <w:rFonts w:hint="eastAsia" w:ascii="仿宋_GB2312" w:hAnsi="仿宋" w:eastAsia="仿宋_GB2312"/>
          <w:color w:val="auto"/>
          <w:sz w:val="32"/>
          <w:szCs w:val="32"/>
          <w:lang w:val="en-US" w:eastAsia="zh-CN"/>
        </w:rPr>
        <w:t>85.55</w:t>
      </w:r>
      <w:r>
        <w:rPr>
          <w:rFonts w:hint="eastAsia" w:ascii="仿宋_GB2312" w:hAnsi="仿宋" w:eastAsia="仿宋_GB2312"/>
          <w:color w:val="auto"/>
          <w:sz w:val="32"/>
          <w:szCs w:val="32"/>
        </w:rPr>
        <w:t>万元；二是社会保障和就业支出减少</w:t>
      </w:r>
      <w:r>
        <w:rPr>
          <w:rFonts w:hint="eastAsia" w:ascii="仿宋_GB2312" w:hAnsi="仿宋" w:eastAsia="仿宋_GB2312"/>
          <w:color w:val="auto"/>
          <w:sz w:val="32"/>
          <w:szCs w:val="32"/>
          <w:lang w:val="en-US" w:eastAsia="zh-CN"/>
        </w:rPr>
        <w:t>13.71</w:t>
      </w:r>
      <w:r>
        <w:rPr>
          <w:rFonts w:hint="eastAsia" w:ascii="仿宋_GB2312" w:hAnsi="仿宋" w:eastAsia="仿宋_GB2312"/>
          <w:color w:val="auto"/>
          <w:sz w:val="32"/>
          <w:szCs w:val="32"/>
        </w:rPr>
        <w:t>万元；三是卫生健康支出减少</w:t>
      </w:r>
      <w:r>
        <w:rPr>
          <w:rFonts w:hint="eastAsia" w:ascii="仿宋_GB2312" w:hAnsi="仿宋" w:eastAsia="仿宋_GB2312"/>
          <w:color w:val="auto"/>
          <w:sz w:val="32"/>
          <w:szCs w:val="32"/>
          <w:lang w:val="en-US" w:eastAsia="zh-CN"/>
        </w:rPr>
        <w:t>10.13</w:t>
      </w:r>
      <w:r>
        <w:rPr>
          <w:rFonts w:hint="eastAsia" w:ascii="仿宋_GB2312" w:hAnsi="仿宋" w:eastAsia="仿宋_GB2312"/>
          <w:color w:val="auto"/>
          <w:sz w:val="32"/>
          <w:szCs w:val="32"/>
        </w:rPr>
        <w:t>万元；四是住房保障支出减少</w:t>
      </w:r>
      <w:r>
        <w:rPr>
          <w:rFonts w:hint="eastAsia" w:ascii="仿宋_GB2312" w:hAnsi="仿宋" w:eastAsia="仿宋_GB2312"/>
          <w:color w:val="auto"/>
          <w:sz w:val="32"/>
          <w:szCs w:val="32"/>
          <w:lang w:val="en-US" w:eastAsia="zh-CN"/>
        </w:rPr>
        <w:t>8.5</w:t>
      </w:r>
      <w:r>
        <w:rPr>
          <w:rFonts w:hint="eastAsia" w:ascii="仿宋_GB2312" w:hAnsi="仿宋" w:eastAsia="仿宋_GB2312"/>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本年收入</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rPr>
        <w:t>万元。</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使用非财政拨款结余</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万元，较</w:t>
      </w:r>
      <w:r>
        <w:rPr>
          <w:rFonts w:hint="eastAsia" w:ascii="仿宋_GB2312" w:hAnsi="仿宋" w:eastAsia="仿宋_GB2312"/>
          <w:color w:val="auto"/>
          <w:sz w:val="32"/>
          <w:szCs w:val="32"/>
          <w:lang w:val="en-US"/>
        </w:rPr>
        <w:t>2024</w:t>
      </w:r>
      <w:r>
        <w:rPr>
          <w:rFonts w:hint="eastAsia" w:ascii="仿宋_GB2312" w:hAnsi="仿宋" w:eastAsia="仿宋_GB2312"/>
          <w:color w:val="auto"/>
          <w:sz w:val="32"/>
          <w:szCs w:val="32"/>
        </w:rPr>
        <w:t>年度决算数</w:t>
      </w:r>
      <w:r>
        <w:rPr>
          <w:rFonts w:hint="eastAsia" w:ascii="仿宋_GB2312" w:hAnsi="仿宋" w:eastAsia="仿宋_GB2312"/>
          <w:color w:val="auto"/>
          <w:sz w:val="32"/>
          <w:szCs w:val="32"/>
          <w:lang w:val="en-US" w:eastAsia="zh-CN"/>
        </w:rPr>
        <w:t>无变化</w:t>
      </w:r>
      <w:r>
        <w:rPr>
          <w:rFonts w:hint="eastAsia" w:ascii="仿宋_GB2312" w:hAnsi="仿宋" w:eastAsia="仿宋_GB2312"/>
          <w:color w:val="auto"/>
          <w:sz w:val="32"/>
          <w:szCs w:val="32"/>
        </w:rPr>
        <w:t>。</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年初结转结余</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万元，较</w:t>
      </w:r>
      <w:r>
        <w:rPr>
          <w:rFonts w:hint="eastAsia" w:ascii="仿宋_GB2312" w:hAnsi="仿宋" w:eastAsia="仿宋_GB2312"/>
          <w:color w:val="auto"/>
          <w:sz w:val="32"/>
          <w:szCs w:val="32"/>
          <w:lang w:val="en-US"/>
        </w:rPr>
        <w:t>2024</w:t>
      </w:r>
      <w:r>
        <w:rPr>
          <w:rFonts w:hint="eastAsia" w:ascii="仿宋_GB2312" w:hAnsi="仿宋" w:eastAsia="仿宋_GB2312"/>
          <w:color w:val="auto"/>
          <w:sz w:val="32"/>
          <w:szCs w:val="32"/>
        </w:rPr>
        <w:t>年度决算数</w:t>
      </w:r>
      <w:r>
        <w:rPr>
          <w:rFonts w:hint="eastAsia" w:ascii="仿宋_GB2312" w:hAnsi="仿宋" w:eastAsia="仿宋_GB2312"/>
          <w:color w:val="auto"/>
          <w:sz w:val="32"/>
          <w:szCs w:val="32"/>
          <w:lang w:val="en-US" w:eastAsia="zh-CN"/>
        </w:rPr>
        <w:t>无变化</w:t>
      </w:r>
      <w:r>
        <w:rPr>
          <w:rFonts w:hint="eastAsia" w:ascii="仿宋_GB2312" w:hAnsi="仿宋"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本年支出</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rPr>
        <w:t>万元。</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结余分配</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万元，较202</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年度决算数增加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万元，增长</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%，主要原因是</w:t>
      </w:r>
      <w:r>
        <w:rPr>
          <w:rFonts w:hint="eastAsia" w:ascii="仿宋_GB2312" w:hAnsi="仿宋" w:eastAsia="仿宋_GB2312"/>
          <w:color w:val="auto"/>
          <w:sz w:val="32"/>
          <w:szCs w:val="32"/>
          <w:lang w:val="en-US" w:eastAsia="zh-CN"/>
        </w:rPr>
        <w:t>无</w:t>
      </w:r>
      <w:r>
        <w:rPr>
          <w:rFonts w:hint="eastAsia" w:ascii="仿宋_GB2312" w:hAnsi="仿宋" w:eastAsia="仿宋_GB2312"/>
          <w:color w:val="auto"/>
          <w:sz w:val="32"/>
          <w:szCs w:val="32"/>
        </w:rPr>
        <w:t>结余分配。</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年末结转结余</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万元，较202</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年度决算数增加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万元，增长</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%，主要原因是</w:t>
      </w:r>
      <w:r>
        <w:rPr>
          <w:rFonts w:hint="eastAsia" w:ascii="仿宋_GB2312" w:hAnsi="仿宋" w:eastAsia="仿宋_GB2312"/>
          <w:color w:val="auto"/>
          <w:sz w:val="32"/>
          <w:szCs w:val="32"/>
          <w:lang w:val="en-US" w:eastAsia="zh-CN"/>
        </w:rPr>
        <w:t>无</w:t>
      </w:r>
      <w:r>
        <w:rPr>
          <w:rFonts w:hint="eastAsia" w:ascii="仿宋_GB2312" w:hAnsi="仿宋" w:eastAsia="仿宋_GB2312"/>
          <w:color w:val="auto"/>
          <w:sz w:val="32"/>
          <w:szCs w:val="32"/>
        </w:rPr>
        <w:t>年末结转结余。</w:t>
      </w: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收入决算情况说明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_GB2312" w:hAnsi="仿宋" w:eastAsia="仿宋_GB2312"/>
          <w:color w:val="auto"/>
          <w:sz w:val="32"/>
          <w:szCs w:val="32"/>
        </w:rPr>
        <w:t>本年收入</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rPr>
        <w:t>万元，其中：财政拨款收入</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100</w:t>
      </w:r>
      <w:r>
        <w:rPr>
          <w:rFonts w:hint="eastAsia" w:ascii="仿宋_GB2312" w:hAnsi="仿宋" w:eastAsia="仿宋_GB2312"/>
          <w:color w:val="auto"/>
          <w:sz w:val="32"/>
          <w:szCs w:val="32"/>
        </w:rPr>
        <w:t>%；上级补助收入</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%；事业收入</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%；经营收入</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%；附属单位上缴收入</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%；其他收入</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pPr>
        <w:snapToGrid w:val="0"/>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本年支出</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rPr>
        <w:t>万元，其中：基本支出</w:t>
      </w:r>
      <w:r>
        <w:rPr>
          <w:rFonts w:hint="eastAsia" w:ascii="仿宋_GB2312" w:hAnsi="仿宋" w:eastAsia="仿宋_GB2312"/>
          <w:color w:val="auto"/>
          <w:sz w:val="32"/>
          <w:szCs w:val="32"/>
          <w:lang w:val="en-US" w:eastAsia="zh-CN"/>
        </w:rPr>
        <w:t>73.47</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99.43</w:t>
      </w:r>
      <w:r>
        <w:rPr>
          <w:rFonts w:hint="eastAsia" w:ascii="仿宋_GB2312" w:hAnsi="仿宋" w:eastAsia="仿宋_GB2312"/>
          <w:color w:val="auto"/>
          <w:sz w:val="32"/>
          <w:szCs w:val="32"/>
        </w:rPr>
        <w:t>%；项目支出</w:t>
      </w:r>
      <w:r>
        <w:rPr>
          <w:rFonts w:hint="eastAsia" w:ascii="仿宋_GB2312" w:hAnsi="仿宋" w:eastAsia="仿宋_GB2312"/>
          <w:color w:val="auto"/>
          <w:sz w:val="32"/>
          <w:szCs w:val="32"/>
          <w:lang w:val="en-US"/>
        </w:rPr>
        <w:t>0.</w:t>
      </w:r>
      <w:r>
        <w:rPr>
          <w:rFonts w:hint="eastAsia" w:ascii="仿宋_GB2312" w:hAnsi="仿宋" w:eastAsia="仿宋_GB2312"/>
          <w:color w:val="auto"/>
          <w:sz w:val="32"/>
          <w:szCs w:val="32"/>
          <w:lang w:val="en-US" w:eastAsia="zh-CN"/>
        </w:rPr>
        <w:t>42</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0.57</w:t>
      </w:r>
      <w:r>
        <w:rPr>
          <w:rFonts w:hint="eastAsia" w:ascii="仿宋_GB2312" w:hAnsi="仿宋" w:eastAsia="仿宋_GB2312"/>
          <w:color w:val="auto"/>
          <w:sz w:val="32"/>
          <w:szCs w:val="32"/>
        </w:rPr>
        <w:t>%；上缴上级支出</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%；经营支出</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%；对附属单位补助支出</w:t>
      </w:r>
      <w:r>
        <w:rPr>
          <w:rFonts w:hint="eastAsia" w:ascii="仿宋_GB2312" w:hAnsi="仿宋" w:eastAsia="仿宋_GB2312"/>
          <w:color w:val="auto"/>
          <w:sz w:val="32"/>
          <w:szCs w:val="32"/>
          <w:lang w:val="en-US"/>
        </w:rPr>
        <w:t>0.00</w:t>
      </w:r>
      <w:r>
        <w:rPr>
          <w:rFonts w:hint="eastAsia" w:ascii="仿宋_GB2312" w:hAnsi="仿宋" w:eastAsia="仿宋_GB2312"/>
          <w:color w:val="auto"/>
          <w:sz w:val="32"/>
          <w:szCs w:val="32"/>
        </w:rPr>
        <w:t>万元，占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四、财政拨款收入支出决算总体情况说明</w:t>
      </w:r>
    </w:p>
    <w:p>
      <w:pPr>
        <w:snapToGrid w:val="0"/>
        <w:spacing w:line="520" w:lineRule="exact"/>
        <w:ind w:firstLine="640" w:firstLineChars="200"/>
        <w:rPr>
          <w:rFonts w:hint="eastAsia" w:ascii="仿宋_GB2312" w:hAnsi="仿宋" w:eastAsia="仿宋_GB2312"/>
          <w:color w:val="auto"/>
          <w:sz w:val="32"/>
          <w:szCs w:val="32"/>
          <w:lang w:val="en-US"/>
        </w:rPr>
      </w:pPr>
      <w:r>
        <w:rPr>
          <w:rFonts w:hint="eastAsia" w:ascii="仿宋_GB2312" w:hAnsi="仿宋" w:eastAsia="仿宋_GB2312"/>
          <w:color w:val="auto"/>
          <w:sz w:val="32"/>
          <w:szCs w:val="32"/>
          <w:lang w:val="en-US"/>
        </w:rPr>
        <w:t>2025年度财政拨款收入</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lang w:val="en-US"/>
        </w:rPr>
        <w:t>万元，支出</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lang w:val="en-US"/>
        </w:rPr>
        <w:t>万元。与2024年度相比，财政拨款收入减少</w:t>
      </w:r>
      <w:r>
        <w:rPr>
          <w:rFonts w:hint="eastAsia" w:ascii="仿宋_GB2312" w:hAnsi="仿宋" w:eastAsia="仿宋_GB2312"/>
          <w:color w:val="auto"/>
          <w:sz w:val="32"/>
          <w:szCs w:val="32"/>
          <w:lang w:val="en-US" w:eastAsia="zh-CN"/>
        </w:rPr>
        <w:t>117.89</w:t>
      </w:r>
      <w:r>
        <w:rPr>
          <w:rFonts w:hint="eastAsia" w:ascii="仿宋_GB2312" w:hAnsi="仿宋" w:eastAsia="仿宋_GB2312"/>
          <w:color w:val="auto"/>
          <w:sz w:val="32"/>
          <w:szCs w:val="32"/>
          <w:lang w:val="en-US"/>
        </w:rPr>
        <w:t>万元，下降</w:t>
      </w:r>
      <w:r>
        <w:rPr>
          <w:rFonts w:hint="eastAsia" w:ascii="仿宋_GB2312" w:hAnsi="仿宋" w:eastAsia="仿宋_GB2312"/>
          <w:color w:val="auto"/>
          <w:sz w:val="32"/>
          <w:szCs w:val="32"/>
          <w:lang w:val="en-US" w:eastAsia="zh-CN"/>
        </w:rPr>
        <w:t>61.47</w:t>
      </w:r>
      <w:r>
        <w:rPr>
          <w:rFonts w:hint="eastAsia" w:ascii="仿宋_GB2312" w:hAnsi="仿宋" w:eastAsia="仿宋_GB2312"/>
          <w:color w:val="auto"/>
          <w:sz w:val="32"/>
          <w:szCs w:val="32"/>
          <w:lang w:val="en-US"/>
        </w:rPr>
        <w:t>%，主要原因：财政拨款收入减少。支出减</w:t>
      </w:r>
      <w:r>
        <w:rPr>
          <w:rFonts w:hint="eastAsia" w:ascii="仿宋_GB2312" w:hAnsi="仿宋" w:eastAsia="仿宋_GB2312"/>
          <w:color w:val="auto"/>
          <w:sz w:val="32"/>
          <w:szCs w:val="32"/>
          <w:lang w:val="en-US" w:eastAsia="zh-CN"/>
        </w:rPr>
        <w:t>少117.89</w:t>
      </w:r>
      <w:r>
        <w:rPr>
          <w:rFonts w:hint="eastAsia" w:ascii="仿宋_GB2312" w:hAnsi="仿宋" w:eastAsia="仿宋_GB2312"/>
          <w:color w:val="auto"/>
          <w:sz w:val="32"/>
          <w:szCs w:val="32"/>
          <w:lang w:val="en-US"/>
        </w:rPr>
        <w:t>万元，下降</w:t>
      </w:r>
      <w:r>
        <w:rPr>
          <w:rFonts w:hint="eastAsia" w:ascii="仿宋_GB2312" w:hAnsi="仿宋" w:eastAsia="仿宋_GB2312"/>
          <w:color w:val="auto"/>
          <w:sz w:val="32"/>
          <w:szCs w:val="32"/>
          <w:lang w:val="en-US" w:eastAsia="zh-CN"/>
        </w:rPr>
        <w:t>61.47</w:t>
      </w:r>
      <w:r>
        <w:rPr>
          <w:rFonts w:hint="eastAsia" w:ascii="仿宋_GB2312" w:hAnsi="仿宋" w:eastAsia="仿宋_GB2312"/>
          <w:color w:val="auto"/>
          <w:sz w:val="32"/>
          <w:szCs w:val="32"/>
          <w:lang w:val="en-US"/>
        </w:rPr>
        <w:t>%，主要原因：一是一般公共服务支出减少</w:t>
      </w:r>
      <w:r>
        <w:rPr>
          <w:rFonts w:hint="eastAsia" w:ascii="仿宋_GB2312" w:hAnsi="仿宋" w:eastAsia="仿宋_GB2312"/>
          <w:color w:val="auto"/>
          <w:sz w:val="32"/>
          <w:szCs w:val="32"/>
          <w:lang w:val="en-US" w:eastAsia="zh-CN"/>
        </w:rPr>
        <w:t>85.55</w:t>
      </w:r>
      <w:r>
        <w:rPr>
          <w:rFonts w:hint="eastAsia" w:ascii="仿宋_GB2312" w:hAnsi="仿宋" w:eastAsia="仿宋_GB2312"/>
          <w:color w:val="auto"/>
          <w:sz w:val="32"/>
          <w:szCs w:val="32"/>
          <w:lang w:val="en-US"/>
        </w:rPr>
        <w:t>万元；二是社会保障和就业支出减少</w:t>
      </w:r>
      <w:r>
        <w:rPr>
          <w:rFonts w:hint="eastAsia" w:ascii="仿宋_GB2312" w:hAnsi="仿宋" w:eastAsia="仿宋_GB2312"/>
          <w:color w:val="auto"/>
          <w:sz w:val="32"/>
          <w:szCs w:val="32"/>
          <w:lang w:val="en-US" w:eastAsia="zh-CN"/>
        </w:rPr>
        <w:t>13.71</w:t>
      </w:r>
      <w:r>
        <w:rPr>
          <w:rFonts w:hint="eastAsia" w:ascii="仿宋_GB2312" w:hAnsi="仿宋" w:eastAsia="仿宋_GB2312"/>
          <w:color w:val="auto"/>
          <w:sz w:val="32"/>
          <w:szCs w:val="32"/>
          <w:lang w:val="en-US"/>
        </w:rPr>
        <w:t>万元；三是卫生健康支出减少</w:t>
      </w:r>
      <w:r>
        <w:rPr>
          <w:rFonts w:hint="eastAsia" w:ascii="仿宋_GB2312" w:hAnsi="仿宋" w:eastAsia="仿宋_GB2312"/>
          <w:color w:val="auto"/>
          <w:sz w:val="32"/>
          <w:szCs w:val="32"/>
          <w:lang w:val="en-US" w:eastAsia="zh-CN"/>
        </w:rPr>
        <w:t>10.13</w:t>
      </w:r>
      <w:r>
        <w:rPr>
          <w:rFonts w:hint="eastAsia" w:ascii="仿宋_GB2312" w:hAnsi="仿宋" w:eastAsia="仿宋_GB2312"/>
          <w:color w:val="auto"/>
          <w:sz w:val="32"/>
          <w:szCs w:val="32"/>
          <w:lang w:val="en-US"/>
        </w:rPr>
        <w:t>万元；四是住房保障支出减少</w:t>
      </w:r>
      <w:r>
        <w:rPr>
          <w:rFonts w:hint="eastAsia" w:ascii="仿宋_GB2312" w:hAnsi="仿宋" w:eastAsia="仿宋_GB2312"/>
          <w:color w:val="auto"/>
          <w:sz w:val="32"/>
          <w:szCs w:val="32"/>
          <w:lang w:val="en-US" w:eastAsia="zh-CN"/>
        </w:rPr>
        <w:t>8.5</w:t>
      </w:r>
      <w:r>
        <w:rPr>
          <w:rFonts w:hint="eastAsia" w:ascii="仿宋_GB2312" w:hAnsi="仿宋" w:eastAsia="仿宋_GB2312"/>
          <w:color w:val="auto"/>
          <w:sz w:val="32"/>
          <w:szCs w:val="32"/>
          <w:lang w:val="en-US"/>
        </w:rPr>
        <w:t>万元。</w:t>
      </w:r>
    </w:p>
    <w:p>
      <w:pPr>
        <w:snapToGrid w:val="0"/>
        <w:spacing w:line="520" w:lineRule="exact"/>
        <w:ind w:firstLine="640" w:firstLineChars="200"/>
        <w:rPr>
          <w:rFonts w:hint="eastAsia" w:ascii="仿宋_GB2312" w:hAnsi="仿宋" w:eastAsia="仿宋_GB2312"/>
          <w:color w:val="auto"/>
          <w:sz w:val="32"/>
          <w:szCs w:val="32"/>
          <w:lang w:val="en-US"/>
        </w:rPr>
      </w:pPr>
      <w:r>
        <w:rPr>
          <w:rFonts w:hint="eastAsia" w:ascii="仿宋_GB2312" w:hAnsi="仿宋" w:eastAsia="仿宋_GB2312"/>
          <w:color w:val="auto"/>
          <w:sz w:val="32"/>
          <w:szCs w:val="32"/>
          <w:lang w:val="en-US"/>
        </w:rPr>
        <w:t>财政拨款年初结转结余0.00万元，较202</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lang w:val="en-US"/>
        </w:rPr>
        <w:t>年度决算数增加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lang w:val="en-US"/>
        </w:rPr>
        <w:t>万元，增长</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lang w:val="en-US"/>
        </w:rPr>
        <w:t>%，主要原因是</w:t>
      </w:r>
      <w:r>
        <w:rPr>
          <w:rFonts w:hint="eastAsia" w:ascii="仿宋_GB2312" w:hAnsi="仿宋" w:eastAsia="仿宋_GB2312"/>
          <w:color w:val="auto"/>
          <w:sz w:val="32"/>
          <w:szCs w:val="32"/>
          <w:lang w:val="en-US" w:eastAsia="zh-CN"/>
        </w:rPr>
        <w:t>无</w:t>
      </w:r>
      <w:r>
        <w:rPr>
          <w:rFonts w:hint="eastAsia" w:ascii="仿宋_GB2312" w:hAnsi="仿宋" w:eastAsia="仿宋_GB2312"/>
          <w:color w:val="auto"/>
          <w:sz w:val="32"/>
          <w:szCs w:val="32"/>
          <w:lang w:val="en-US"/>
        </w:rPr>
        <w:t>年初结转结余。</w:t>
      </w:r>
    </w:p>
    <w:p>
      <w:pPr>
        <w:snapToGrid w:val="0"/>
        <w:spacing w:line="520" w:lineRule="exact"/>
        <w:ind w:firstLine="640" w:firstLineChars="200"/>
        <w:rPr>
          <w:rFonts w:hint="eastAsia" w:ascii="仿宋_GB2312" w:hAnsi="仿宋" w:eastAsia="仿宋_GB2312"/>
          <w:color w:val="auto"/>
          <w:sz w:val="32"/>
          <w:szCs w:val="32"/>
          <w:lang w:val="en-US"/>
        </w:rPr>
      </w:pPr>
      <w:r>
        <w:rPr>
          <w:rFonts w:hint="eastAsia" w:ascii="仿宋_GB2312" w:hAnsi="仿宋" w:eastAsia="仿宋_GB2312"/>
          <w:color w:val="auto"/>
          <w:sz w:val="32"/>
          <w:szCs w:val="32"/>
          <w:lang w:val="en-US"/>
        </w:rPr>
        <w:t>财政拨款年末结转结余0.00万元，较202</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lang w:val="en-US"/>
        </w:rPr>
        <w:t>年度决算数增加</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lang w:val="en-US"/>
        </w:rPr>
        <w:t>万元，增长</w:t>
      </w:r>
      <w:r>
        <w:rPr>
          <w:rFonts w:hint="eastAsia" w:ascii="仿宋_GB2312" w:hAnsi="仿宋" w:eastAsia="仿宋_GB2312"/>
          <w:color w:val="auto"/>
          <w:sz w:val="32"/>
          <w:szCs w:val="32"/>
          <w:lang w:val="en-US" w:eastAsia="zh-CN"/>
        </w:rPr>
        <w:t>0</w:t>
      </w:r>
      <w:r>
        <w:rPr>
          <w:rFonts w:hint="eastAsia" w:ascii="仿宋_GB2312" w:hAnsi="仿宋" w:eastAsia="仿宋_GB2312"/>
          <w:color w:val="auto"/>
          <w:sz w:val="32"/>
          <w:szCs w:val="32"/>
          <w:lang w:val="en-US"/>
        </w:rPr>
        <w:t>%，主要原因是</w:t>
      </w:r>
      <w:r>
        <w:rPr>
          <w:rFonts w:hint="eastAsia" w:ascii="仿宋_GB2312" w:hAnsi="仿宋" w:eastAsia="仿宋_GB2312"/>
          <w:color w:val="auto"/>
          <w:sz w:val="32"/>
          <w:szCs w:val="32"/>
          <w:lang w:val="en-US" w:eastAsia="zh-CN"/>
        </w:rPr>
        <w:t>无</w:t>
      </w:r>
      <w:r>
        <w:rPr>
          <w:rFonts w:hint="eastAsia" w:ascii="仿宋_GB2312" w:hAnsi="仿宋" w:eastAsia="仿宋_GB2312"/>
          <w:color w:val="auto"/>
          <w:sz w:val="32"/>
          <w:szCs w:val="32"/>
          <w:lang w:val="en-US"/>
        </w:rPr>
        <w:t>年末结转结余。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79" w:name="_Toc19665_WPSOffice_Level2"/>
      <w:bookmarkStart w:id="80" w:name="_Toc13694_WPSOffice_Level2"/>
      <w:bookmarkStart w:id="81" w:name="_Toc23005_WPSOffice_Level2"/>
      <w:bookmarkStart w:id="82" w:name="_Toc17398_WPSOffice_Level2"/>
      <w:bookmarkStart w:id="83" w:name="_Toc9989_WPSOffice_Level2"/>
      <w:bookmarkStart w:id="84" w:name="_Toc21737_WPSOffice_Level2"/>
      <w:r>
        <w:rPr>
          <w:rFonts w:hint="eastAsia" w:ascii="楷体" w:hAnsi="楷体" w:eastAsia="楷体" w:cs="楷体"/>
          <w:color w:val="auto"/>
          <w:sz w:val="32"/>
          <w:szCs w:val="32"/>
        </w:rPr>
        <w:t>（一）一般公共预算财政拨款支出决算总体情况</w:t>
      </w:r>
      <w:bookmarkEnd w:id="79"/>
      <w:bookmarkEnd w:id="80"/>
      <w:bookmarkEnd w:id="81"/>
      <w:bookmarkEnd w:id="82"/>
      <w:bookmarkEnd w:id="83"/>
      <w:bookmarkEnd w:id="84"/>
    </w:p>
    <w:p>
      <w:pPr>
        <w:snapToGrid w:val="0"/>
        <w:spacing w:line="520" w:lineRule="exact"/>
        <w:ind w:firstLine="640" w:firstLineChars="200"/>
        <w:rPr>
          <w:rFonts w:hint="eastAsia" w:ascii="仿宋_GB2312" w:hAnsi="仿宋" w:eastAsia="仿宋_GB2312"/>
          <w:color w:val="auto"/>
          <w:sz w:val="32"/>
          <w:szCs w:val="32"/>
          <w:lang w:val="en-US"/>
        </w:rPr>
      </w:pPr>
      <w:r>
        <w:rPr>
          <w:rFonts w:hint="eastAsia" w:ascii="仿宋_GB2312" w:hAnsi="仿宋" w:eastAsia="仿宋_GB2312"/>
          <w:color w:val="auto"/>
          <w:sz w:val="32"/>
          <w:szCs w:val="32"/>
          <w:lang w:val="en-US"/>
        </w:rPr>
        <w:t>2025年度一般公共预算财政拨款支出</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lang w:val="en-US"/>
        </w:rPr>
        <w:t>万元，占本年支出合计的</w:t>
      </w:r>
      <w:r>
        <w:rPr>
          <w:rFonts w:hint="eastAsia" w:ascii="仿宋_GB2312" w:hAnsi="仿宋" w:eastAsia="仿宋_GB2312"/>
          <w:color w:val="auto"/>
          <w:sz w:val="32"/>
          <w:szCs w:val="32"/>
          <w:lang w:val="en-US" w:eastAsia="zh-CN"/>
        </w:rPr>
        <w:t>100</w:t>
      </w:r>
      <w:r>
        <w:rPr>
          <w:rFonts w:hint="eastAsia" w:ascii="仿宋_GB2312" w:hAnsi="仿宋" w:eastAsia="仿宋_GB2312"/>
          <w:color w:val="auto"/>
          <w:sz w:val="32"/>
          <w:szCs w:val="32"/>
          <w:lang w:val="en-US"/>
        </w:rPr>
        <w:t>%。与2024年度相比，一般公共预算财政拨款支出减少</w:t>
      </w:r>
      <w:r>
        <w:rPr>
          <w:rFonts w:hint="eastAsia" w:ascii="仿宋_GB2312" w:hAnsi="仿宋" w:eastAsia="仿宋_GB2312"/>
          <w:color w:val="auto"/>
          <w:sz w:val="32"/>
          <w:szCs w:val="32"/>
          <w:lang w:val="en-US" w:eastAsia="zh-CN"/>
        </w:rPr>
        <w:t>117.89</w:t>
      </w:r>
      <w:r>
        <w:rPr>
          <w:rFonts w:hint="eastAsia" w:ascii="仿宋_GB2312" w:hAnsi="仿宋" w:eastAsia="仿宋_GB2312"/>
          <w:color w:val="auto"/>
          <w:sz w:val="32"/>
          <w:szCs w:val="32"/>
          <w:lang w:val="en-US"/>
        </w:rPr>
        <w:t>万元，下降</w:t>
      </w:r>
      <w:r>
        <w:rPr>
          <w:rFonts w:hint="eastAsia" w:ascii="仿宋_GB2312" w:hAnsi="仿宋" w:eastAsia="仿宋_GB2312"/>
          <w:color w:val="auto"/>
          <w:sz w:val="32"/>
          <w:szCs w:val="32"/>
          <w:lang w:val="en-US" w:eastAsia="zh-CN"/>
        </w:rPr>
        <w:t>61.47</w:t>
      </w:r>
      <w:r>
        <w:rPr>
          <w:rFonts w:hint="eastAsia" w:ascii="仿宋_GB2312" w:hAnsi="仿宋" w:eastAsia="仿宋_GB2312"/>
          <w:color w:val="auto"/>
          <w:sz w:val="32"/>
          <w:szCs w:val="32"/>
          <w:lang w:val="en-US"/>
        </w:rPr>
        <w:t>%，主要原因一是一般公共服务支出减少</w:t>
      </w:r>
      <w:r>
        <w:rPr>
          <w:rFonts w:hint="eastAsia" w:ascii="仿宋_GB2312" w:hAnsi="仿宋" w:eastAsia="仿宋_GB2312"/>
          <w:color w:val="auto"/>
          <w:sz w:val="32"/>
          <w:szCs w:val="32"/>
          <w:lang w:val="en-US" w:eastAsia="zh-CN"/>
        </w:rPr>
        <w:t>85.55</w:t>
      </w:r>
      <w:r>
        <w:rPr>
          <w:rFonts w:hint="eastAsia" w:ascii="仿宋_GB2312" w:hAnsi="仿宋" w:eastAsia="仿宋_GB2312"/>
          <w:color w:val="auto"/>
          <w:sz w:val="32"/>
          <w:szCs w:val="32"/>
          <w:lang w:val="en-US"/>
        </w:rPr>
        <w:t>万元；二是社会保障和就业支出减少</w:t>
      </w:r>
      <w:r>
        <w:rPr>
          <w:rFonts w:hint="eastAsia" w:ascii="仿宋_GB2312" w:hAnsi="仿宋" w:eastAsia="仿宋_GB2312"/>
          <w:color w:val="auto"/>
          <w:sz w:val="32"/>
          <w:szCs w:val="32"/>
          <w:lang w:val="en-US" w:eastAsia="zh-CN"/>
        </w:rPr>
        <w:t>13.71</w:t>
      </w:r>
      <w:r>
        <w:rPr>
          <w:rFonts w:hint="eastAsia" w:ascii="仿宋_GB2312" w:hAnsi="仿宋" w:eastAsia="仿宋_GB2312"/>
          <w:color w:val="auto"/>
          <w:sz w:val="32"/>
          <w:szCs w:val="32"/>
          <w:lang w:val="en-US"/>
        </w:rPr>
        <w:t>万元；三是卫生健康支出减少</w:t>
      </w:r>
      <w:r>
        <w:rPr>
          <w:rFonts w:hint="eastAsia" w:ascii="仿宋_GB2312" w:hAnsi="仿宋" w:eastAsia="仿宋_GB2312"/>
          <w:color w:val="auto"/>
          <w:sz w:val="32"/>
          <w:szCs w:val="32"/>
          <w:lang w:val="en-US" w:eastAsia="zh-CN"/>
        </w:rPr>
        <w:t>10.13</w:t>
      </w:r>
      <w:r>
        <w:rPr>
          <w:rFonts w:hint="eastAsia" w:ascii="仿宋_GB2312" w:hAnsi="仿宋" w:eastAsia="仿宋_GB2312"/>
          <w:color w:val="auto"/>
          <w:sz w:val="32"/>
          <w:szCs w:val="32"/>
          <w:lang w:val="en-US"/>
        </w:rPr>
        <w:t>万元；四是住房保障支出减少</w:t>
      </w:r>
      <w:r>
        <w:rPr>
          <w:rFonts w:hint="eastAsia" w:ascii="仿宋_GB2312" w:hAnsi="仿宋" w:eastAsia="仿宋_GB2312"/>
          <w:color w:val="auto"/>
          <w:sz w:val="32"/>
          <w:szCs w:val="32"/>
          <w:lang w:val="en-US" w:eastAsia="zh-CN"/>
        </w:rPr>
        <w:t>8.5</w:t>
      </w:r>
      <w:r>
        <w:rPr>
          <w:rFonts w:hint="eastAsia" w:ascii="仿宋_GB2312" w:hAnsi="仿宋" w:eastAsia="仿宋_GB2312"/>
          <w:color w:val="auto"/>
          <w:sz w:val="32"/>
          <w:szCs w:val="32"/>
          <w:lang w:val="en-US"/>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5" w:name="_Toc23864_WPSOffice_Level2"/>
      <w:bookmarkStart w:id="86" w:name="_Toc2711_WPSOffice_Level2"/>
      <w:bookmarkStart w:id="87" w:name="_Toc19075_WPSOffice_Level2"/>
      <w:bookmarkStart w:id="88" w:name="_Toc27767_WPSOffice_Level2"/>
      <w:bookmarkStart w:id="89" w:name="_Toc18793_WPSOffice_Level2"/>
      <w:bookmarkStart w:id="90" w:name="_Toc19535_WPSOffice_Level2"/>
      <w:r>
        <w:rPr>
          <w:rFonts w:hint="eastAsia" w:ascii="楷体" w:hAnsi="楷体" w:eastAsia="楷体" w:cs="楷体"/>
          <w:color w:val="auto"/>
          <w:sz w:val="32"/>
          <w:szCs w:val="32"/>
        </w:rPr>
        <w:t>（二）一般公共预算财政拨款支出决算结构情况</w:t>
      </w:r>
      <w:bookmarkEnd w:id="85"/>
      <w:bookmarkEnd w:id="86"/>
      <w:bookmarkEnd w:id="87"/>
      <w:bookmarkEnd w:id="88"/>
      <w:bookmarkEnd w:id="89"/>
      <w:bookmarkEnd w:id="90"/>
    </w:p>
    <w:p>
      <w:pPr>
        <w:snapToGrid w:val="0"/>
        <w:spacing w:line="520" w:lineRule="exact"/>
        <w:ind w:firstLine="640" w:firstLineChars="200"/>
        <w:rPr>
          <w:rFonts w:hint="eastAsia" w:ascii="仿宋_GB2312" w:hAnsi="仿宋" w:eastAsia="仿宋_GB2312"/>
          <w:color w:val="auto"/>
          <w:sz w:val="32"/>
          <w:szCs w:val="32"/>
          <w:lang w:val="en-US"/>
        </w:rPr>
      </w:pPr>
      <w:r>
        <w:rPr>
          <w:rFonts w:hint="eastAsia" w:ascii="仿宋_GB2312" w:hAnsi="仿宋" w:eastAsia="仿宋_GB2312"/>
          <w:color w:val="auto"/>
          <w:sz w:val="32"/>
          <w:szCs w:val="32"/>
          <w:lang w:val="en-US"/>
        </w:rPr>
        <w:t>2025年度一般公共预算财政拨款支出</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lang w:val="en-US"/>
        </w:rPr>
        <w:t>万元，主要用于以下方面：</w:t>
      </w:r>
      <w:r>
        <w:rPr>
          <w:rFonts w:hint="eastAsia" w:ascii="仿宋_GB2312" w:hAnsi="仿宋" w:eastAsia="仿宋_GB2312"/>
          <w:b/>
          <w:bCs/>
          <w:i w:val="0"/>
          <w:iCs w:val="0"/>
          <w:color w:val="auto"/>
          <w:sz w:val="32"/>
          <w:szCs w:val="32"/>
          <w:lang w:val="en-US"/>
        </w:rPr>
        <w:t>一般公共服务（类）</w:t>
      </w:r>
      <w:r>
        <w:rPr>
          <w:rFonts w:hint="eastAsia" w:ascii="仿宋_GB2312" w:hAnsi="仿宋" w:eastAsia="仿宋_GB2312"/>
          <w:color w:val="auto"/>
          <w:sz w:val="32"/>
          <w:szCs w:val="32"/>
          <w:lang w:val="en-US"/>
        </w:rPr>
        <w:t>支出</w:t>
      </w:r>
      <w:r>
        <w:rPr>
          <w:rFonts w:hint="eastAsia" w:ascii="仿宋_GB2312" w:hAnsi="仿宋" w:eastAsia="仿宋_GB2312"/>
          <w:color w:val="auto"/>
          <w:sz w:val="32"/>
          <w:szCs w:val="32"/>
          <w:lang w:val="en-US" w:eastAsia="zh-CN"/>
        </w:rPr>
        <w:t>50.72</w:t>
      </w:r>
      <w:r>
        <w:rPr>
          <w:rFonts w:hint="eastAsia" w:ascii="仿宋_GB2312" w:hAnsi="仿宋" w:eastAsia="仿宋_GB2312"/>
          <w:color w:val="auto"/>
          <w:sz w:val="32"/>
          <w:szCs w:val="32"/>
          <w:lang w:val="en-US"/>
        </w:rPr>
        <w:t>万元，占</w:t>
      </w:r>
      <w:r>
        <w:rPr>
          <w:rFonts w:hint="eastAsia" w:ascii="仿宋_GB2312" w:hAnsi="仿宋" w:eastAsia="仿宋_GB2312"/>
          <w:color w:val="auto"/>
          <w:sz w:val="32"/>
          <w:szCs w:val="32"/>
          <w:lang w:val="en-US" w:eastAsia="zh-CN"/>
        </w:rPr>
        <w:t>68.64</w:t>
      </w:r>
      <w:r>
        <w:rPr>
          <w:rFonts w:hint="eastAsia" w:ascii="仿宋_GB2312" w:hAnsi="仿宋" w:eastAsia="仿宋_GB2312"/>
          <w:color w:val="auto"/>
          <w:sz w:val="32"/>
          <w:szCs w:val="32"/>
          <w:lang w:val="en-US"/>
        </w:rPr>
        <w:t>%；</w:t>
      </w:r>
      <w:r>
        <w:rPr>
          <w:rFonts w:hint="eastAsia" w:ascii="仿宋_GB2312" w:hAnsi="仿宋" w:eastAsia="仿宋_GB2312"/>
          <w:b/>
          <w:bCs/>
          <w:i w:val="0"/>
          <w:iCs w:val="0"/>
          <w:color w:val="auto"/>
          <w:sz w:val="32"/>
          <w:szCs w:val="32"/>
          <w:lang w:val="en-US"/>
        </w:rPr>
        <w:t>社会保障和就业（类）</w:t>
      </w:r>
      <w:r>
        <w:rPr>
          <w:rFonts w:hint="eastAsia" w:ascii="仿宋_GB2312" w:hAnsi="仿宋" w:eastAsia="仿宋_GB2312"/>
          <w:color w:val="auto"/>
          <w:sz w:val="32"/>
          <w:szCs w:val="32"/>
          <w:lang w:val="en-US"/>
        </w:rPr>
        <w:t>支出</w:t>
      </w:r>
      <w:r>
        <w:rPr>
          <w:rFonts w:hint="eastAsia" w:ascii="仿宋_GB2312" w:hAnsi="仿宋" w:eastAsia="仿宋_GB2312"/>
          <w:color w:val="auto"/>
          <w:sz w:val="32"/>
          <w:szCs w:val="32"/>
          <w:lang w:val="en-US" w:eastAsia="zh-CN"/>
        </w:rPr>
        <w:t>8.61</w:t>
      </w:r>
      <w:r>
        <w:rPr>
          <w:rFonts w:hint="eastAsia" w:ascii="仿宋_GB2312" w:hAnsi="仿宋" w:eastAsia="仿宋_GB2312"/>
          <w:color w:val="auto"/>
          <w:sz w:val="32"/>
          <w:szCs w:val="32"/>
          <w:lang w:val="en-US"/>
        </w:rPr>
        <w:t>万元，占</w:t>
      </w:r>
      <w:r>
        <w:rPr>
          <w:rFonts w:hint="eastAsia" w:ascii="仿宋_GB2312" w:hAnsi="仿宋" w:eastAsia="仿宋_GB2312"/>
          <w:color w:val="auto"/>
          <w:sz w:val="32"/>
          <w:szCs w:val="32"/>
          <w:lang w:val="en-US" w:eastAsia="zh-CN"/>
        </w:rPr>
        <w:t>11.65</w:t>
      </w:r>
      <w:r>
        <w:rPr>
          <w:rFonts w:hint="eastAsia" w:ascii="仿宋_GB2312" w:hAnsi="仿宋" w:eastAsia="仿宋_GB2312"/>
          <w:color w:val="auto"/>
          <w:sz w:val="32"/>
          <w:szCs w:val="32"/>
          <w:lang w:val="en-US"/>
        </w:rPr>
        <w:t>%；</w:t>
      </w:r>
      <w:r>
        <w:rPr>
          <w:rFonts w:hint="eastAsia" w:ascii="仿宋_GB2312" w:hAnsi="仿宋" w:eastAsia="仿宋_GB2312"/>
          <w:b/>
          <w:bCs/>
          <w:i w:val="0"/>
          <w:iCs w:val="0"/>
          <w:color w:val="auto"/>
          <w:sz w:val="32"/>
          <w:szCs w:val="32"/>
          <w:lang w:val="en-US"/>
        </w:rPr>
        <w:t>卫生健康支出（类）</w:t>
      </w:r>
      <w:r>
        <w:rPr>
          <w:rFonts w:hint="eastAsia" w:ascii="仿宋_GB2312" w:hAnsi="仿宋" w:eastAsia="仿宋_GB2312"/>
          <w:color w:val="auto"/>
          <w:sz w:val="32"/>
          <w:szCs w:val="32"/>
          <w:lang w:val="en-US"/>
        </w:rPr>
        <w:t>支出</w:t>
      </w:r>
      <w:r>
        <w:rPr>
          <w:rFonts w:hint="eastAsia" w:ascii="仿宋_GB2312" w:hAnsi="仿宋" w:eastAsia="仿宋_GB2312"/>
          <w:color w:val="auto"/>
          <w:sz w:val="32"/>
          <w:szCs w:val="32"/>
          <w:lang w:val="en-US" w:eastAsia="zh-CN"/>
        </w:rPr>
        <w:t>9.23</w:t>
      </w:r>
      <w:r>
        <w:rPr>
          <w:rFonts w:hint="eastAsia" w:ascii="仿宋_GB2312" w:hAnsi="仿宋" w:eastAsia="仿宋_GB2312"/>
          <w:color w:val="auto"/>
          <w:sz w:val="32"/>
          <w:szCs w:val="32"/>
          <w:lang w:val="en-US"/>
        </w:rPr>
        <w:t>万元，占</w:t>
      </w:r>
      <w:r>
        <w:rPr>
          <w:rFonts w:hint="eastAsia" w:ascii="仿宋_GB2312" w:hAnsi="仿宋" w:eastAsia="仿宋_GB2312"/>
          <w:color w:val="auto"/>
          <w:sz w:val="32"/>
          <w:szCs w:val="32"/>
          <w:lang w:val="en-US" w:eastAsia="zh-CN"/>
        </w:rPr>
        <w:t>12.49</w:t>
      </w:r>
      <w:r>
        <w:rPr>
          <w:rFonts w:hint="eastAsia" w:ascii="仿宋_GB2312" w:hAnsi="仿宋" w:eastAsia="仿宋_GB2312"/>
          <w:color w:val="auto"/>
          <w:sz w:val="32"/>
          <w:szCs w:val="32"/>
          <w:lang w:val="en-US"/>
        </w:rPr>
        <w:t>%；住房保障（类）支出</w:t>
      </w:r>
      <w:r>
        <w:rPr>
          <w:rFonts w:hint="eastAsia" w:ascii="仿宋_GB2312" w:hAnsi="仿宋" w:eastAsia="仿宋_GB2312"/>
          <w:color w:val="auto"/>
          <w:sz w:val="32"/>
          <w:szCs w:val="32"/>
          <w:lang w:val="en-US" w:eastAsia="zh-CN"/>
        </w:rPr>
        <w:t>5.33</w:t>
      </w:r>
      <w:r>
        <w:rPr>
          <w:rFonts w:hint="eastAsia" w:ascii="仿宋_GB2312" w:hAnsi="仿宋" w:eastAsia="仿宋_GB2312"/>
          <w:color w:val="auto"/>
          <w:sz w:val="32"/>
          <w:szCs w:val="32"/>
          <w:lang w:val="en-US"/>
        </w:rPr>
        <w:t>万元，占</w:t>
      </w:r>
      <w:r>
        <w:rPr>
          <w:rFonts w:hint="eastAsia" w:ascii="仿宋_GB2312" w:hAnsi="仿宋" w:eastAsia="仿宋_GB2312"/>
          <w:color w:val="auto"/>
          <w:sz w:val="32"/>
          <w:szCs w:val="32"/>
          <w:lang w:val="en-US" w:eastAsia="zh-CN"/>
        </w:rPr>
        <w:t>7.22</w:t>
      </w:r>
      <w:r>
        <w:rPr>
          <w:rFonts w:hint="eastAsia" w:ascii="仿宋_GB2312" w:hAnsi="仿宋" w:eastAsia="仿宋_GB2312"/>
          <w:color w:val="auto"/>
          <w:sz w:val="32"/>
          <w:szCs w:val="32"/>
          <w:lang w:val="en-US"/>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91" w:name="_Toc25136_WPSOffice_Level2"/>
      <w:bookmarkStart w:id="92" w:name="_Toc29364_WPSOffice_Level2"/>
      <w:bookmarkStart w:id="93" w:name="_Toc9502_WPSOffice_Level2"/>
      <w:bookmarkStart w:id="94" w:name="_Toc22318_WPSOffice_Level2"/>
      <w:bookmarkStart w:id="95" w:name="_Toc15415_WPSOffice_Level2"/>
      <w:bookmarkStart w:id="96" w:name="_Toc21701_WPSOffice_Level2"/>
      <w:r>
        <w:rPr>
          <w:rFonts w:hint="eastAsia" w:ascii="楷体" w:hAnsi="楷体" w:eastAsia="楷体" w:cs="楷体"/>
          <w:color w:val="auto"/>
          <w:sz w:val="32"/>
          <w:szCs w:val="32"/>
        </w:rPr>
        <w:t>（三）一般公共预算财政拨款支出决算具体情况</w:t>
      </w:r>
      <w:bookmarkEnd w:id="91"/>
      <w:bookmarkEnd w:id="92"/>
      <w:bookmarkEnd w:id="93"/>
      <w:bookmarkEnd w:id="94"/>
      <w:bookmarkEnd w:id="95"/>
      <w:bookmarkEnd w:id="96"/>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仿宋" w:eastAsia="仿宋_GB2312"/>
          <w:color w:val="auto"/>
          <w:sz w:val="32"/>
          <w:szCs w:val="32"/>
          <w:lang w:val="en-US"/>
        </w:rPr>
        <w:t>2025年度一般公共预算财政拨款支出年初预算为</w:t>
      </w:r>
      <w:r>
        <w:rPr>
          <w:rFonts w:hint="eastAsia" w:ascii="仿宋_GB2312" w:hAnsi="仿宋" w:eastAsia="仿宋_GB2312"/>
          <w:color w:val="auto"/>
          <w:sz w:val="32"/>
          <w:szCs w:val="32"/>
          <w:lang w:val="en-US" w:eastAsia="zh-CN"/>
        </w:rPr>
        <w:t>181.05</w:t>
      </w:r>
      <w:r>
        <w:rPr>
          <w:rFonts w:hint="eastAsia" w:ascii="仿宋_GB2312" w:hAnsi="仿宋" w:eastAsia="仿宋_GB2312"/>
          <w:color w:val="auto"/>
          <w:sz w:val="32"/>
          <w:szCs w:val="32"/>
          <w:lang w:val="en-US"/>
        </w:rPr>
        <w:t>万元，支出决算为</w:t>
      </w:r>
      <w:r>
        <w:rPr>
          <w:rFonts w:hint="eastAsia" w:ascii="仿宋_GB2312" w:hAnsi="仿宋" w:eastAsia="仿宋_GB2312"/>
          <w:color w:val="auto"/>
          <w:sz w:val="32"/>
          <w:szCs w:val="32"/>
          <w:lang w:val="en-US" w:eastAsia="zh-CN"/>
        </w:rPr>
        <w:t>73.89</w:t>
      </w:r>
      <w:r>
        <w:rPr>
          <w:rFonts w:hint="eastAsia" w:ascii="仿宋_GB2312" w:hAnsi="仿宋" w:eastAsia="仿宋_GB2312"/>
          <w:color w:val="auto"/>
          <w:sz w:val="32"/>
          <w:szCs w:val="32"/>
          <w:lang w:val="en-US"/>
        </w:rPr>
        <w:t>万元，完成年初预算的</w:t>
      </w:r>
      <w:r>
        <w:rPr>
          <w:rFonts w:hint="eastAsia" w:ascii="仿宋_GB2312" w:hAnsi="仿宋" w:eastAsia="仿宋_GB2312"/>
          <w:color w:val="auto"/>
          <w:sz w:val="32"/>
          <w:szCs w:val="32"/>
          <w:lang w:val="en-US" w:eastAsia="zh-CN"/>
        </w:rPr>
        <w:t>40.81</w:t>
      </w:r>
      <w:r>
        <w:rPr>
          <w:rFonts w:hint="eastAsia" w:ascii="仿宋_GB2312" w:hAnsi="仿宋" w:eastAsia="仿宋_GB2312"/>
          <w:color w:val="auto"/>
          <w:sz w:val="32"/>
          <w:szCs w:val="32"/>
          <w:lang w:val="en-US"/>
        </w:rPr>
        <w:t>%。其中：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rPr>
        <w:t>1.</w:t>
      </w:r>
      <w:r>
        <w:rPr>
          <w:rFonts w:hint="eastAsia" w:ascii="仿宋" w:hAnsi="仿宋" w:eastAsia="仿宋" w:cs="仿宋"/>
          <w:b/>
          <w:color w:val="auto"/>
          <w:sz w:val="32"/>
          <w:szCs w:val="32"/>
        </w:rPr>
        <w:t>一般公共服务（类）财政事务（款）行政运行（项）。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_GB2312" w:hAnsi="仿宋" w:eastAsia="仿宋_GB2312"/>
          <w:color w:val="auto"/>
          <w:sz w:val="32"/>
          <w:szCs w:val="32"/>
          <w:lang w:val="en-US"/>
        </w:rPr>
        <w:t>年初预算为</w:t>
      </w:r>
      <w:r>
        <w:rPr>
          <w:rFonts w:hint="eastAsia" w:ascii="仿宋_GB2312" w:hAnsi="仿宋" w:eastAsia="仿宋_GB2312"/>
          <w:color w:val="auto"/>
          <w:sz w:val="32"/>
          <w:szCs w:val="32"/>
          <w:lang w:val="en-US" w:eastAsia="zh-CN"/>
        </w:rPr>
        <w:t>123.52</w:t>
      </w:r>
      <w:r>
        <w:rPr>
          <w:rFonts w:hint="eastAsia" w:ascii="仿宋_GB2312" w:hAnsi="仿宋" w:eastAsia="仿宋_GB2312"/>
          <w:color w:val="auto"/>
          <w:sz w:val="32"/>
          <w:szCs w:val="32"/>
          <w:lang w:val="en-US"/>
        </w:rPr>
        <w:t>万元，支出决算为</w:t>
      </w:r>
      <w:r>
        <w:rPr>
          <w:rFonts w:hint="eastAsia" w:ascii="仿宋_GB2312" w:hAnsi="仿宋" w:eastAsia="仿宋_GB2312"/>
          <w:color w:val="auto"/>
          <w:sz w:val="32"/>
          <w:szCs w:val="32"/>
          <w:lang w:val="en-US" w:eastAsia="zh-CN"/>
        </w:rPr>
        <w:t>50.3</w:t>
      </w:r>
      <w:r>
        <w:rPr>
          <w:rFonts w:hint="eastAsia" w:ascii="仿宋_GB2312" w:hAnsi="仿宋" w:eastAsia="仿宋_GB2312"/>
          <w:color w:val="auto"/>
          <w:sz w:val="32"/>
          <w:szCs w:val="32"/>
          <w:lang w:val="en-US"/>
        </w:rPr>
        <w:t>万元，完成年初预算的</w:t>
      </w:r>
      <w:r>
        <w:rPr>
          <w:rFonts w:hint="eastAsia" w:ascii="仿宋_GB2312" w:hAnsi="仿宋" w:eastAsia="仿宋_GB2312"/>
          <w:color w:val="auto"/>
          <w:sz w:val="32"/>
          <w:szCs w:val="32"/>
          <w:lang w:val="en-US" w:eastAsia="zh-CN"/>
        </w:rPr>
        <w:t>40.72</w:t>
      </w:r>
      <w:r>
        <w:rPr>
          <w:rFonts w:hint="eastAsia" w:ascii="仿宋_GB2312" w:hAnsi="仿宋" w:eastAsia="仿宋_GB2312"/>
          <w:color w:val="auto"/>
          <w:sz w:val="32"/>
          <w:szCs w:val="32"/>
          <w:lang w:val="en-US"/>
        </w:rPr>
        <w:t>%。决算数小于预算数的主要原因：本年度调出4人，1名退休人员，故经费减少。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rPr>
        <w:t>2.</w:t>
      </w:r>
      <w:r>
        <w:rPr>
          <w:rFonts w:hint="eastAsia" w:ascii="仿宋" w:hAnsi="仿宋" w:eastAsia="仿宋" w:cs="仿宋"/>
          <w:b/>
          <w:color w:val="auto"/>
          <w:sz w:val="32"/>
          <w:szCs w:val="32"/>
        </w:rPr>
        <w:t>一般公共服务（类）财政事务（款）其他财政事务支出（项）。</w:t>
      </w:r>
    </w:p>
    <w:p>
      <w:pPr>
        <w:snapToGrid w:val="0"/>
        <w:spacing w:line="520" w:lineRule="exact"/>
        <w:ind w:firstLine="640" w:firstLineChars="200"/>
        <w:rPr>
          <w:rFonts w:hint="eastAsia" w:ascii="仿宋_GB2312" w:hAnsi="仿宋" w:eastAsia="仿宋_GB2312"/>
          <w:color w:val="auto"/>
          <w:sz w:val="32"/>
          <w:szCs w:val="32"/>
          <w:lang w:val="en-US"/>
        </w:rPr>
      </w:pPr>
      <w:r>
        <w:rPr>
          <w:rFonts w:hint="eastAsia" w:ascii="仿宋_GB2312" w:hAnsi="仿宋" w:eastAsia="仿宋_GB2312"/>
          <w:color w:val="auto"/>
          <w:sz w:val="32"/>
          <w:szCs w:val="32"/>
          <w:lang w:val="en-US"/>
        </w:rPr>
        <w:t>年初预算为</w:t>
      </w:r>
      <w:r>
        <w:rPr>
          <w:rFonts w:hint="eastAsia" w:ascii="仿宋_GB2312" w:hAnsi="仿宋" w:eastAsia="仿宋_GB2312"/>
          <w:color w:val="auto"/>
          <w:sz w:val="32"/>
          <w:szCs w:val="32"/>
          <w:lang w:val="en-US" w:eastAsia="zh-CN"/>
        </w:rPr>
        <w:t>4.35</w:t>
      </w:r>
      <w:r>
        <w:rPr>
          <w:rFonts w:hint="eastAsia" w:ascii="仿宋_GB2312" w:hAnsi="仿宋" w:eastAsia="仿宋_GB2312"/>
          <w:color w:val="auto"/>
          <w:sz w:val="32"/>
          <w:szCs w:val="32"/>
          <w:lang w:val="en-US"/>
        </w:rPr>
        <w:t>万元，支出决算为</w:t>
      </w:r>
      <w:r>
        <w:rPr>
          <w:rFonts w:hint="eastAsia" w:ascii="仿宋_GB2312" w:hAnsi="仿宋" w:eastAsia="仿宋_GB2312"/>
          <w:color w:val="auto"/>
          <w:sz w:val="32"/>
          <w:szCs w:val="32"/>
          <w:lang w:val="en-US" w:eastAsia="zh-CN"/>
        </w:rPr>
        <w:t>0.42</w:t>
      </w:r>
      <w:r>
        <w:rPr>
          <w:rFonts w:hint="eastAsia" w:ascii="仿宋_GB2312" w:hAnsi="仿宋" w:eastAsia="仿宋_GB2312"/>
          <w:color w:val="auto"/>
          <w:sz w:val="32"/>
          <w:szCs w:val="32"/>
          <w:lang w:val="en-US"/>
        </w:rPr>
        <w:t>万元，完成年初预算的</w:t>
      </w:r>
      <w:r>
        <w:rPr>
          <w:rFonts w:hint="eastAsia" w:ascii="仿宋_GB2312" w:hAnsi="仿宋" w:eastAsia="仿宋_GB2312"/>
          <w:color w:val="auto"/>
          <w:sz w:val="32"/>
          <w:szCs w:val="32"/>
          <w:lang w:val="en-US" w:eastAsia="zh-CN"/>
        </w:rPr>
        <w:t>9.66</w:t>
      </w:r>
      <w:r>
        <w:rPr>
          <w:rFonts w:hint="eastAsia" w:ascii="仿宋_GB2312" w:hAnsi="仿宋" w:eastAsia="仿宋_GB2312"/>
          <w:color w:val="auto"/>
          <w:sz w:val="32"/>
          <w:szCs w:val="32"/>
          <w:lang w:val="en-US"/>
        </w:rPr>
        <w:t>%。决算数小于预算数的主要原因：</w:t>
      </w:r>
      <w:r>
        <w:rPr>
          <w:rFonts w:hint="eastAsia" w:ascii="仿宋_GB2312" w:hAnsi="仿宋" w:eastAsia="仿宋_GB2312"/>
          <w:color w:val="auto"/>
          <w:sz w:val="32"/>
          <w:szCs w:val="32"/>
          <w:lang w:val="en-US" w:eastAsia="zh-CN"/>
        </w:rPr>
        <w:t>财政所机构改革，由财政局统一管理，不再作为独立的预算单位，将资金调剂给财政局</w:t>
      </w:r>
      <w:r>
        <w:rPr>
          <w:rFonts w:hint="eastAsia" w:ascii="仿宋_GB2312" w:hAnsi="仿宋" w:eastAsia="仿宋_GB2312"/>
          <w:color w:val="auto"/>
          <w:sz w:val="32"/>
          <w:szCs w:val="32"/>
          <w:lang w:val="en-US"/>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b/>
          <w:color w:val="auto"/>
          <w:sz w:val="32"/>
          <w:szCs w:val="32"/>
        </w:rPr>
        <w:t>社会保障和就业支出（类）行政事业单位养老支出（款）机关事业单位基本养老保险缴费支出（项）。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_GB2312" w:hAnsi="仿宋" w:eastAsia="仿宋_GB2312"/>
          <w:color w:val="auto"/>
          <w:sz w:val="32"/>
          <w:szCs w:val="32"/>
          <w:lang w:val="en-US"/>
        </w:rPr>
        <w:t>年初预算为</w:t>
      </w:r>
      <w:r>
        <w:rPr>
          <w:rFonts w:hint="eastAsia" w:ascii="仿宋_GB2312" w:hAnsi="仿宋" w:eastAsia="仿宋_GB2312"/>
          <w:color w:val="auto"/>
          <w:sz w:val="32"/>
          <w:szCs w:val="32"/>
          <w:lang w:val="en-US" w:eastAsia="zh-CN"/>
        </w:rPr>
        <w:t>13.73</w:t>
      </w:r>
      <w:r>
        <w:rPr>
          <w:rFonts w:hint="eastAsia" w:ascii="仿宋_GB2312" w:hAnsi="仿宋" w:eastAsia="仿宋_GB2312"/>
          <w:color w:val="auto"/>
          <w:sz w:val="32"/>
          <w:szCs w:val="32"/>
          <w:lang w:val="en-US"/>
        </w:rPr>
        <w:t>万元，支出决算为</w:t>
      </w:r>
      <w:r>
        <w:rPr>
          <w:rFonts w:hint="eastAsia" w:ascii="仿宋_GB2312" w:hAnsi="仿宋" w:eastAsia="仿宋_GB2312"/>
          <w:color w:val="auto"/>
          <w:sz w:val="32"/>
          <w:szCs w:val="32"/>
          <w:lang w:val="en-US" w:eastAsia="zh-CN"/>
        </w:rPr>
        <w:t xml:space="preserve"> 5.74</w:t>
      </w:r>
      <w:r>
        <w:rPr>
          <w:rFonts w:hint="eastAsia" w:ascii="仿宋_GB2312" w:hAnsi="仿宋" w:eastAsia="仿宋_GB2312"/>
          <w:color w:val="auto"/>
          <w:sz w:val="32"/>
          <w:szCs w:val="32"/>
          <w:lang w:val="en-US"/>
        </w:rPr>
        <w:t>万元，完成年初预算的</w:t>
      </w:r>
      <w:r>
        <w:rPr>
          <w:rFonts w:hint="eastAsia" w:ascii="仿宋_GB2312" w:hAnsi="仿宋" w:eastAsia="仿宋_GB2312"/>
          <w:color w:val="auto"/>
          <w:sz w:val="32"/>
          <w:szCs w:val="32"/>
          <w:lang w:val="en-US" w:eastAsia="zh-CN"/>
        </w:rPr>
        <w:t>41.81</w:t>
      </w:r>
      <w:r>
        <w:rPr>
          <w:rFonts w:hint="eastAsia" w:ascii="仿宋_GB2312" w:hAnsi="仿宋" w:eastAsia="仿宋_GB2312"/>
          <w:color w:val="auto"/>
          <w:sz w:val="32"/>
          <w:szCs w:val="32"/>
          <w:lang w:val="en-US"/>
        </w:rPr>
        <w:t>%。决算数小于预算数的主要原因：本年度调出4人，1名退休人员，故经费减少</w:t>
      </w:r>
      <w:r>
        <w:rPr>
          <w:rFonts w:hint="eastAsia" w:ascii="仿宋_GB2312" w:hAnsi="仿宋" w:eastAsia="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b/>
          <w:color w:val="auto"/>
          <w:sz w:val="32"/>
          <w:szCs w:val="32"/>
        </w:rPr>
        <w:t>社会保障和就业支出（类）行政事业单位养老支出（款）机关事业单位职业年金缴费支出（项）。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_GB2312" w:hAnsi="仿宋" w:eastAsia="仿宋_GB2312"/>
          <w:color w:val="auto"/>
          <w:sz w:val="32"/>
          <w:szCs w:val="32"/>
          <w:lang w:val="en-US"/>
        </w:rPr>
        <w:t>年初预算为</w:t>
      </w:r>
      <w:r>
        <w:rPr>
          <w:rFonts w:hint="eastAsia" w:ascii="仿宋_GB2312" w:hAnsi="仿宋" w:eastAsia="仿宋_GB2312"/>
          <w:color w:val="auto"/>
          <w:sz w:val="32"/>
          <w:szCs w:val="32"/>
          <w:lang w:val="en-US" w:eastAsia="zh-CN"/>
        </w:rPr>
        <w:t>6.86</w:t>
      </w:r>
      <w:r>
        <w:rPr>
          <w:rFonts w:hint="eastAsia" w:ascii="仿宋_GB2312" w:hAnsi="仿宋" w:eastAsia="仿宋_GB2312"/>
          <w:color w:val="auto"/>
          <w:sz w:val="32"/>
          <w:szCs w:val="32"/>
          <w:lang w:val="en-US"/>
        </w:rPr>
        <w:t>万元，支出决算为</w:t>
      </w:r>
      <w:r>
        <w:rPr>
          <w:rFonts w:hint="eastAsia" w:ascii="仿宋_GB2312" w:hAnsi="仿宋" w:eastAsia="仿宋_GB2312"/>
          <w:color w:val="auto"/>
          <w:sz w:val="32"/>
          <w:szCs w:val="32"/>
          <w:lang w:val="en-US" w:eastAsia="zh-CN"/>
        </w:rPr>
        <w:t>2.87</w:t>
      </w:r>
      <w:r>
        <w:rPr>
          <w:rFonts w:hint="eastAsia" w:ascii="仿宋_GB2312" w:hAnsi="仿宋" w:eastAsia="仿宋_GB2312"/>
          <w:color w:val="auto"/>
          <w:sz w:val="32"/>
          <w:szCs w:val="32"/>
          <w:lang w:val="en-US"/>
        </w:rPr>
        <w:t>万元，完成年初预算的</w:t>
      </w:r>
      <w:r>
        <w:rPr>
          <w:rFonts w:hint="eastAsia" w:ascii="仿宋_GB2312" w:hAnsi="仿宋" w:eastAsia="仿宋_GB2312"/>
          <w:color w:val="auto"/>
          <w:sz w:val="32"/>
          <w:szCs w:val="32"/>
          <w:lang w:val="en-US" w:eastAsia="zh-CN"/>
        </w:rPr>
        <w:t>41.84</w:t>
      </w:r>
      <w:r>
        <w:rPr>
          <w:rFonts w:hint="eastAsia" w:ascii="仿宋_GB2312" w:hAnsi="仿宋" w:eastAsia="仿宋_GB2312"/>
          <w:color w:val="auto"/>
          <w:sz w:val="32"/>
          <w:szCs w:val="32"/>
          <w:lang w:val="en-US"/>
        </w:rPr>
        <w:t>%。决算数小于预算数的主要原因：本年度调出4人，1名退休人员，故经费减少</w:t>
      </w:r>
      <w:r>
        <w:rPr>
          <w:rFonts w:hint="eastAsia" w:ascii="仿宋_GB2312" w:hAnsi="仿宋" w:eastAsia="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b/>
          <w:color w:val="auto"/>
          <w:sz w:val="32"/>
          <w:szCs w:val="32"/>
        </w:rPr>
        <w:t>卫生健康支出（类）行政事业单位医疗（款）机行政单位医疗（项）。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年初预算为4.97万元，支出决算为2.08万元，完成年初预算的41.85%。决算数小于预算数的主要原因：本年度调出4人，1名退休人员，故经费减少。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b/>
          <w:color w:val="auto"/>
          <w:sz w:val="32"/>
          <w:szCs w:val="32"/>
        </w:rPr>
        <w:t>卫生健康支出（类）行政事业单位医疗（款）公务员医疗补助（项）。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_GB2312" w:hAnsi="仿宋" w:eastAsia="仿宋_GB2312"/>
          <w:color w:val="auto"/>
          <w:sz w:val="32"/>
          <w:szCs w:val="32"/>
          <w:lang w:val="en-US" w:eastAsia="zh-CN"/>
        </w:rPr>
        <w:t>年初预算为12.16万元，支出决算为7.15万元，完成年初预算的58.8%。决算数小于预算数的主要原因：本年度调出4人，1名退休人员，故经费减少。</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7.农林水支出</w:t>
      </w:r>
      <w:r>
        <w:rPr>
          <w:rFonts w:hint="eastAsia" w:ascii="仿宋" w:hAnsi="仿宋" w:eastAsia="仿宋" w:cs="仿宋"/>
          <w:b/>
          <w:color w:val="auto"/>
          <w:sz w:val="32"/>
          <w:szCs w:val="32"/>
        </w:rPr>
        <w:t>（类）</w:t>
      </w:r>
      <w:r>
        <w:rPr>
          <w:rFonts w:hint="eastAsia" w:ascii="仿宋" w:hAnsi="仿宋" w:eastAsia="仿宋" w:cs="仿宋"/>
          <w:b/>
          <w:color w:val="auto"/>
          <w:sz w:val="32"/>
          <w:szCs w:val="32"/>
          <w:lang w:val="en-US" w:eastAsia="zh-CN"/>
        </w:rPr>
        <w:t>巩固脱贫攻坚成果衔接乡村振兴巩固脱贫攻坚成果衔接乡村振兴</w:t>
      </w:r>
      <w:r>
        <w:rPr>
          <w:rFonts w:hint="eastAsia" w:ascii="仿宋" w:hAnsi="仿宋" w:eastAsia="仿宋" w:cs="仿宋"/>
          <w:b/>
          <w:color w:val="auto"/>
          <w:sz w:val="32"/>
          <w:szCs w:val="32"/>
        </w:rPr>
        <w:t>（款）其他巩固脱贫攻坚成果衔接乡村振兴支出（项）。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年初预算为3万元，支出决算为0万元，完成年初预算的0%。决算数小于预算数的主要原因：未委派驻村干部，调减预算3万元。</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8.</w:t>
      </w:r>
      <w:r>
        <w:rPr>
          <w:rFonts w:hint="eastAsia" w:ascii="仿宋" w:hAnsi="仿宋" w:eastAsia="仿宋" w:cs="仿宋"/>
          <w:b/>
          <w:color w:val="auto"/>
          <w:sz w:val="32"/>
          <w:szCs w:val="32"/>
        </w:rPr>
        <w:t>住房保障支出（类）住房改革支出（款）住房公积金（项）。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eastAsia="zh-CN"/>
        </w:rPr>
      </w:pPr>
      <w:r>
        <w:rPr>
          <w:rFonts w:hint="eastAsia" w:ascii="仿宋_GB2312" w:hAnsi="仿宋" w:eastAsia="仿宋_GB2312"/>
          <w:color w:val="auto"/>
          <w:sz w:val="32"/>
          <w:szCs w:val="32"/>
          <w:lang w:val="en-US" w:eastAsia="zh-CN"/>
        </w:rPr>
        <w:t>年初预算为12.46万元，支出决算为5.33万元，完成年初预算的42.78%。决算数小于预算数的主要原因：本年度调出4人，1名退休人员，故经费减少。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六、一般公共预算财政拨款基本支出决算情况说明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财政拨款基本支出73.47万元，其中：人员经费68.31万元，主要包括：工资福利支出中的基本工资、津贴补贴、奖金、伙食补助费、绩效工资、机关事业单位基本养老保险缴费、职业年金缴费、职工基本医疗保险缴费、公务员医疗补助缴费、其他社会保障缴费、住房公积金、医疗费、其他工资福利支出；对个人和家庭的补助中的离休费、退休费、退职（役）费、抚恤金、生活补助、救济费、医疗费补助、助学金、奖励金、个人农业生产补贴、代缴社会保险费、其他对个人和家庭的补助。公用经费5.16万元，主要包括：主要包括：商品和服务支出中的办公费、印刷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债务利息及费用支出中的国内债务付息及国外债务付息；资本性支出中的房屋建筑物购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其他支出中的赠予、国家赔偿费用支出、对民间非营利组织和群众性自治组织补贴和其他支出。</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七、政府性基金预算财政拨款支出决算情况说明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（一）政府性基金预算财政拨款支出决算总体情况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2025年度政府性基金预算财政拨款支出0.00万元，占本年支出合计的0%。与2024年度相比，政府性基金预算财政拨款支出增加0万元，增长0%，主要原因是本年没有安排该类资金预算。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（二）政府性基金预算财政拨款支出决算结构情况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_GB2312" w:hAnsi="仿宋" w:eastAsia="仿宋_GB2312"/>
          <w:color w:val="auto"/>
          <w:sz w:val="32"/>
          <w:szCs w:val="32"/>
          <w:lang w:val="en-US" w:eastAsia="zh-CN"/>
        </w:rPr>
        <w:t>2025年度政府性基金预算财政拨款支出0.00万元。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（三）政府性基金预算财政拨款支出决算具体情况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2025年度政府性基金预算财政拨款支出年初预算为0万元，支出决算为0.00万元，完成年初预算的0%。</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八、国有资本经营预算财政拨款支出决算情况说明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（一）国有资本经营预算财政拨款支出决算总体情况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2025年度国有资本经营预算财政拨款支出0.00万元，占本年支出合计的0%。与2024年度相比，国有资本经营预算财政拨款支出增加0万元，增长0%，主要原因是本年没有安排该类资金预算。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（二）国有资本经营预算财政拨款支出决算结构情况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2025年度国有资本经营预算财政拨款支出0万元。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（三）国有资本经营预算财政拨款支出决算具体情况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2025年度国有资本经营预算财政拨款支出年初预算为0万元，支出决算为0.00万元，完成年初预算的0%。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楷体_GB2312"/>
          <w:color w:val="auto"/>
          <w:sz w:val="32"/>
          <w:szCs w:val="32"/>
        </w:rPr>
      </w:pPr>
      <w:r>
        <w:rPr>
          <w:rFonts w:hint="eastAsia" w:ascii="黑体" w:hAnsi="黑体" w:eastAsia="黑体" w:cs="黑体"/>
          <w:bCs/>
          <w:color w:val="auto"/>
          <w:sz w:val="32"/>
          <w:szCs w:val="32"/>
        </w:rPr>
        <w:t>九、财政拨款“三公”经费支出决算情况说明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（一）财政拨款“三公”经费支出决算总体情况说明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2025年度财政拨款“三公”经费支出预算为0.00万元，支出决算为0.00万元，完成预算的0%，与2024年度相比，“三公”经费支出增加0万元，增长0%，主要原因是本年没有安排该类资金预算。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（二）财政拨款“三公”经费支出决算具体情况说明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2025年度财政拨款“三公”经费支出决算中，因公出国（境）费用支出决算0.00万元，占0%；公务用车购置及运行维护费支出决算0.00万元，占0%；公务接待费支出决算0.00万元，占0%。具体情况如下：</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_GB2312" w:hAnsi="仿宋" w:eastAsia="仿宋_GB2312"/>
          <w:b/>
          <w:bCs/>
          <w:color w:val="auto"/>
          <w:sz w:val="32"/>
          <w:szCs w:val="32"/>
          <w:lang w:val="en-US" w:eastAsia="zh-CN"/>
        </w:rPr>
        <w:t>1.因公出国（境）费用</w:t>
      </w:r>
      <w:r>
        <w:rPr>
          <w:rFonts w:hint="eastAsia" w:ascii="仿宋_GB2312" w:hAnsi="仿宋" w:eastAsia="仿宋_GB2312"/>
          <w:color w:val="auto"/>
          <w:sz w:val="32"/>
          <w:szCs w:val="32"/>
          <w:lang w:val="en-US" w:eastAsia="zh-CN"/>
        </w:rPr>
        <w:t>支出0.00万元。全年安排因公出国（境）团组0个，因公出国（境）0人次。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因公出国（境）费用支出决算数比预算数增加0万元，完成预算的0%。与2024年度相比，因公出国（境）费用支出增加0万元，增长0%，主要原因是本年没有安排该类资金预算。</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b/>
          <w:bCs/>
          <w:color w:val="auto"/>
          <w:sz w:val="32"/>
          <w:szCs w:val="32"/>
          <w:lang w:val="en-US" w:eastAsia="zh-CN"/>
        </w:rPr>
        <w:t>2.公务用车购置及运行维护费</w:t>
      </w:r>
      <w:r>
        <w:rPr>
          <w:rFonts w:hint="eastAsia" w:ascii="仿宋_GB2312" w:hAnsi="仿宋" w:eastAsia="仿宋_GB2312"/>
          <w:color w:val="auto"/>
          <w:sz w:val="32"/>
          <w:szCs w:val="32"/>
          <w:lang w:val="en-US" w:eastAsia="zh-CN"/>
        </w:rPr>
        <w:t>支出0.00万元。其中：</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b/>
          <w:bCs/>
          <w:color w:val="auto"/>
          <w:sz w:val="32"/>
          <w:szCs w:val="32"/>
          <w:lang w:val="en-US" w:eastAsia="zh-CN"/>
        </w:rPr>
        <w:t>公务用车购置</w:t>
      </w:r>
      <w:r>
        <w:rPr>
          <w:rFonts w:hint="eastAsia" w:ascii="仿宋_GB2312" w:hAnsi="仿宋" w:eastAsia="仿宋_GB2312"/>
          <w:color w:val="auto"/>
          <w:sz w:val="32"/>
          <w:szCs w:val="32"/>
          <w:lang w:val="en-US" w:eastAsia="zh-CN"/>
        </w:rPr>
        <w:t>支出0.00万元，全年购置公务用车0辆，年末公务用车保有量0辆。</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_GB2312" w:hAnsi="仿宋" w:eastAsia="仿宋_GB2312"/>
          <w:b/>
          <w:bCs/>
          <w:color w:val="auto"/>
          <w:sz w:val="32"/>
          <w:szCs w:val="32"/>
          <w:lang w:val="en-US" w:eastAsia="zh-CN"/>
        </w:rPr>
        <w:t>公务用车运行维护费</w:t>
      </w:r>
      <w:r>
        <w:rPr>
          <w:rFonts w:hint="eastAsia" w:ascii="仿宋_GB2312" w:hAnsi="仿宋" w:eastAsia="仿宋_GB2312"/>
          <w:color w:val="auto"/>
          <w:sz w:val="32"/>
          <w:szCs w:val="32"/>
          <w:lang w:val="en-US" w:eastAsia="zh-CN"/>
        </w:rPr>
        <w:t>支出0.00万元。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公务用车购置及运行维护费支出决算数比预算数增加0万元，完成预算的0%。与2024年度相比，公务用车购置及运行维护费支出增加0万元，增长0%，主要原因是本年没有安排该类资金预算。</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b/>
          <w:bCs/>
          <w:color w:val="auto"/>
          <w:sz w:val="32"/>
          <w:szCs w:val="32"/>
          <w:lang w:val="en-US" w:eastAsia="zh-CN"/>
        </w:rPr>
        <w:t>3.公务接待费</w:t>
      </w:r>
      <w:r>
        <w:rPr>
          <w:rFonts w:hint="eastAsia" w:ascii="仿宋_GB2312" w:hAnsi="仿宋" w:eastAsia="仿宋_GB2312"/>
          <w:color w:val="auto"/>
          <w:sz w:val="32"/>
          <w:szCs w:val="32"/>
          <w:lang w:val="en-US" w:eastAsia="zh-CN"/>
        </w:rPr>
        <w:t>支出0.00万元，其中：</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b/>
          <w:bCs/>
          <w:color w:val="auto"/>
          <w:sz w:val="32"/>
          <w:szCs w:val="32"/>
          <w:lang w:val="en-US" w:eastAsia="zh-CN"/>
        </w:rPr>
        <w:t>国内接待费</w:t>
      </w:r>
      <w:r>
        <w:rPr>
          <w:rFonts w:hint="eastAsia" w:ascii="仿宋_GB2312" w:hAnsi="仿宋" w:eastAsia="仿宋_GB2312"/>
          <w:color w:val="auto"/>
          <w:sz w:val="32"/>
          <w:szCs w:val="32"/>
          <w:lang w:val="en-US" w:eastAsia="zh-CN"/>
        </w:rPr>
        <w:t>支出0万元，国内公务接待0批次，接待0人次。</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b/>
          <w:bCs/>
          <w:color w:val="auto"/>
          <w:sz w:val="32"/>
          <w:szCs w:val="32"/>
          <w:lang w:val="en-US" w:eastAsia="zh-CN"/>
        </w:rPr>
        <w:t>国（境）外接待费</w:t>
      </w:r>
      <w:r>
        <w:rPr>
          <w:rFonts w:hint="eastAsia" w:ascii="仿宋_GB2312" w:hAnsi="仿宋" w:eastAsia="仿宋_GB2312"/>
          <w:color w:val="auto"/>
          <w:sz w:val="32"/>
          <w:szCs w:val="32"/>
          <w:lang w:val="en-US" w:eastAsia="zh-CN"/>
        </w:rPr>
        <w:t>支出0万元，国（境）外公务接待0批次，接待0人次。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公务接待费支出决算数比预算数增加0万元，完成预算的0%。与2024年度相比，公务接待费支出增加0万元，增长0%，主要原因是本年没有安排该类资金预算。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十、预算绩效情况说明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w:t>
      </w:r>
      <w:bookmarkStart w:id="97" w:name="OLE_LINK1"/>
      <w:r>
        <w:rPr>
          <w:rFonts w:hint="eastAsia" w:ascii="楷体" w:hAnsi="楷体" w:eastAsia="楷体" w:cs="楷体"/>
          <w:bCs/>
          <w:color w:val="auto"/>
          <w:sz w:val="32"/>
          <w:szCs w:val="32"/>
        </w:rPr>
        <w:t>绩效管理工作开展情况</w:t>
      </w:r>
    </w:p>
    <w:bookmarkEnd w:id="97"/>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根据财政预算绩效管理要求，可按照如下格式说明：根据预算管理要求，我部门（单位）组织对2025年度一般公共预算项目支出全面开展绩效自评,共涉及资金4.53万元，占一般公共预算项目支出总额的100%。组织对2025年度0个政府性基金预算项目开展绩效自评，共涉及资金0万元，占政府性基金预算项目支出总额的0%。组织对2025年度0个国有资本经营预算项目开展绩效自评，共涉及资金0万元，占国有资本经营预算项目支出总额的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共组织对0个项目开展了部门评价，涉及一般公共预算支出0万元，政府性基金预算支出0万元，国有资本经营预算支出0万元。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（二）部门决算中项目绩效自评结果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我部门（单位）在部门决算中反映编外人员支出等1个项目绩效自评结果。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编外人员支出项目绩效自评表：详见附件2</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编外人员支出项目绩效自评报告：根据年初设定的绩效目标，项目绩效自评得分为100分。全年预算数为4.35万元，执行数为4.35万元，完成预算的100%。项目绩效目标完成情况：一是足额发放聘用编外人员工资；二是用于编外人员工会经费；三是用于缴纳编外人员社保及公积金。发现的主要问题及原因无。下一步改进措施：收到财政资金后严格按照“过紧日子”要求，严控项目支出，保证按时完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（三）部门评价结果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无此项内容。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（四）财政评价结果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zh-CN" w:eastAsia="zh-CN"/>
        </w:rPr>
      </w:pPr>
      <w:r>
        <w:rPr>
          <w:rFonts w:hint="eastAsia" w:ascii="仿宋_GB2312" w:hAnsi="仿宋" w:eastAsia="仿宋_GB2312"/>
          <w:color w:val="auto"/>
          <w:sz w:val="32"/>
          <w:szCs w:val="32"/>
          <w:lang w:val="en-US" w:eastAsia="zh-CN"/>
        </w:rPr>
        <w:t>无此项内容</w:t>
      </w:r>
      <w:r>
        <w:rPr>
          <w:rFonts w:hint="eastAsia" w:ascii="仿宋_GB2312" w:hAnsi="仿宋" w:eastAsia="仿宋_GB2312"/>
          <w:color w:val="auto"/>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val="en-US" w:eastAsia="zh-CN"/>
        </w:rPr>
      </w:pPr>
      <w:r>
        <w:rPr>
          <w:rFonts w:hint="eastAsia" w:ascii="黑体" w:hAnsi="黑体" w:eastAsia="黑体" w:cs="黑体"/>
          <w:bCs/>
          <w:color w:val="auto"/>
          <w:sz w:val="32"/>
          <w:szCs w:val="32"/>
          <w:lang w:val="zh-CN"/>
        </w:rPr>
        <w:t>十一、落实习惯过紧日子要求、保障重点支出情况说明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zh-CN" w:eastAsia="zh-CN"/>
        </w:rPr>
      </w:pPr>
      <w:r>
        <w:rPr>
          <w:rFonts w:hint="eastAsia" w:ascii="仿宋_GB2312" w:hAnsi="仿宋" w:eastAsia="仿宋_GB2312"/>
          <w:color w:val="auto"/>
          <w:sz w:val="32"/>
          <w:szCs w:val="32"/>
          <w:lang w:val="zh-CN" w:eastAsia="zh-CN"/>
        </w:rPr>
        <w:t>按照党中央、国务院关于党政机关习惯过紧日子的有关要求，厉行节约办一切事业，严控一般性支出。同时坚持有保有压，优化支出结构，提高资金使用效率，合理保障</w:t>
      </w:r>
      <w:r>
        <w:rPr>
          <w:rFonts w:hint="eastAsia" w:ascii="仿宋_GB2312" w:hAnsi="仿宋" w:eastAsia="仿宋_GB2312"/>
          <w:color w:val="auto"/>
          <w:sz w:val="32"/>
          <w:szCs w:val="32"/>
          <w:lang w:val="en-US" w:eastAsia="zh-CN"/>
        </w:rPr>
        <w:t>人员工资和五险一金</w:t>
      </w:r>
      <w:r>
        <w:rPr>
          <w:rFonts w:hint="eastAsia" w:ascii="仿宋_GB2312" w:hAnsi="仿宋" w:eastAsia="仿宋_GB2312"/>
          <w:color w:val="auto"/>
          <w:sz w:val="32"/>
          <w:szCs w:val="32"/>
          <w:lang w:val="zh-CN" w:eastAsia="zh-CN"/>
        </w:rPr>
        <w:t>等重点支出。按照支出功能分类，</w:t>
      </w:r>
      <w:r>
        <w:rPr>
          <w:rFonts w:hint="eastAsia" w:ascii="仿宋_GB2312" w:hAnsi="仿宋" w:eastAsia="仿宋_GB2312"/>
          <w:color w:val="auto"/>
          <w:sz w:val="32"/>
          <w:szCs w:val="32"/>
          <w:lang w:val="en-US" w:eastAsia="zh-CN"/>
        </w:rPr>
        <w:t>行政运行</w:t>
      </w:r>
      <w:r>
        <w:rPr>
          <w:rFonts w:hint="eastAsia" w:ascii="仿宋_GB2312" w:hAnsi="仿宋" w:eastAsia="仿宋_GB2312"/>
          <w:color w:val="auto"/>
          <w:sz w:val="32"/>
          <w:szCs w:val="32"/>
          <w:lang w:val="zh-CN" w:eastAsia="zh-CN"/>
        </w:rPr>
        <w:t>方面的支出规模占财政拨款支出总额的比重较高，主要是：</w:t>
      </w:r>
      <w:r>
        <w:rPr>
          <w:rFonts w:hint="eastAsia" w:ascii="仿宋_GB2312" w:hAnsi="仿宋" w:eastAsia="仿宋_GB2312"/>
          <w:color w:val="auto"/>
          <w:sz w:val="32"/>
          <w:szCs w:val="32"/>
          <w:lang w:val="en-US" w:eastAsia="zh-CN"/>
        </w:rPr>
        <w:t>基本工资、津贴补贴、奖金</w:t>
      </w:r>
      <w:r>
        <w:rPr>
          <w:rFonts w:hint="eastAsia" w:ascii="仿宋_GB2312" w:hAnsi="仿宋" w:eastAsia="仿宋_GB2312"/>
          <w:color w:val="auto"/>
          <w:sz w:val="32"/>
          <w:szCs w:val="32"/>
          <w:lang w:val="zh-CN" w:eastAsia="zh-CN"/>
        </w:rPr>
        <w:t>，2025年度决算数为</w:t>
      </w:r>
      <w:r>
        <w:rPr>
          <w:rFonts w:hint="eastAsia" w:ascii="仿宋_GB2312" w:hAnsi="仿宋" w:eastAsia="仿宋_GB2312"/>
          <w:color w:val="auto"/>
          <w:sz w:val="32"/>
          <w:szCs w:val="32"/>
          <w:lang w:val="en-US" w:eastAsia="zh-CN"/>
        </w:rPr>
        <w:t>45.05</w:t>
      </w:r>
      <w:r>
        <w:rPr>
          <w:rFonts w:hint="eastAsia" w:ascii="仿宋_GB2312" w:hAnsi="仿宋" w:eastAsia="仿宋_GB2312"/>
          <w:color w:val="auto"/>
          <w:sz w:val="32"/>
          <w:szCs w:val="32"/>
          <w:lang w:val="zh-CN" w:eastAsia="zh-CN"/>
        </w:rPr>
        <w:t>万元，占财政拨款支出总额的</w:t>
      </w:r>
      <w:r>
        <w:rPr>
          <w:rFonts w:hint="eastAsia" w:ascii="仿宋_GB2312" w:hAnsi="仿宋" w:eastAsia="仿宋_GB2312"/>
          <w:color w:val="auto"/>
          <w:sz w:val="32"/>
          <w:szCs w:val="32"/>
          <w:lang w:val="en-US" w:eastAsia="zh-CN"/>
        </w:rPr>
        <w:t>60.97</w:t>
      </w:r>
      <w:r>
        <w:rPr>
          <w:rFonts w:hint="eastAsia" w:ascii="仿宋_GB2312" w:hAnsi="仿宋" w:eastAsia="仿宋_GB2312"/>
          <w:color w:val="auto"/>
          <w:sz w:val="32"/>
          <w:szCs w:val="32"/>
          <w:lang w:val="zh-CN" w:eastAsia="zh-CN"/>
        </w:rPr>
        <w:t>%，主要用于</w:t>
      </w:r>
      <w:r>
        <w:rPr>
          <w:rFonts w:hint="eastAsia" w:ascii="仿宋_GB2312" w:hAnsi="仿宋" w:eastAsia="仿宋_GB2312"/>
          <w:color w:val="auto"/>
          <w:sz w:val="32"/>
          <w:szCs w:val="32"/>
          <w:lang w:val="en-US" w:eastAsia="zh-CN"/>
        </w:rPr>
        <w:t>每月足额发放在职人员工资奖金</w:t>
      </w:r>
      <w:r>
        <w:rPr>
          <w:rFonts w:hint="eastAsia" w:ascii="仿宋_GB2312" w:hAnsi="仿宋" w:eastAsia="仿宋_GB2312"/>
          <w:color w:val="auto"/>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、其他重要事项情况说明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98" w:name="_Toc32639_WPSOffice_Level2"/>
      <w:bookmarkStart w:id="99" w:name="_Toc23598_WPSOffice_Level2"/>
      <w:bookmarkStart w:id="100" w:name="_Toc5978_WPSOffice_Level2"/>
      <w:bookmarkStart w:id="101" w:name="_Toc15262_WPSOffice_Level2"/>
      <w:bookmarkStart w:id="102" w:name="_Toc15565_WPSOffice_Level2"/>
      <w:bookmarkStart w:id="103" w:name="_Toc18325_WPSOffice_Level2"/>
      <w:r>
        <w:rPr>
          <w:rFonts w:hint="eastAsia" w:ascii="楷体" w:hAnsi="楷体" w:eastAsia="楷体" w:cs="楷体"/>
          <w:bCs/>
          <w:color w:val="auto"/>
          <w:sz w:val="32"/>
          <w:szCs w:val="32"/>
        </w:rPr>
        <w:t>（一）机关运行经费支出情况</w:t>
      </w:r>
      <w:bookmarkEnd w:id="98"/>
      <w:bookmarkEnd w:id="99"/>
      <w:bookmarkEnd w:id="100"/>
      <w:bookmarkEnd w:id="101"/>
      <w:bookmarkEnd w:id="102"/>
      <w:bookmarkEnd w:id="103"/>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保城财政所部门（单位）机关运行经费5.17万元（为部门决算中行政单位和参公事业单位财政拨款基本支出中公用经费支出之和，事业单位没有机关运行经费支出），比年初预算减少14.17万元，完成预算的26.73%；与2024年度相比，机关运行经费减少10.73万元，下降67.48%。主要原因是：一是办公设施设备购置经费减少；二是人员编制数量减少，较上年度减少5人（其中调出4人、退休人员1人）；三是落实过紧日子要求压减公用经费支出。</w:t>
      </w:r>
      <w:bookmarkStart w:id="104" w:name="_Toc25333_WPSOffice_Level2"/>
      <w:bookmarkStart w:id="105" w:name="_Toc13084_WPSOffice_Level2"/>
      <w:bookmarkStart w:id="106" w:name="_Toc30383_WPSOffice_Level2"/>
      <w:bookmarkStart w:id="107" w:name="_Toc32689_WPSOffice_Level2"/>
      <w:bookmarkStart w:id="108" w:name="_Toc3131_WPSOffice_Level2"/>
      <w:bookmarkStart w:id="109" w:name="_Toc23966_WPSOffice_Level2"/>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（二）政府采购支出情况</w:t>
      </w:r>
      <w:bookmarkEnd w:id="104"/>
      <w:bookmarkEnd w:id="105"/>
      <w:bookmarkEnd w:id="106"/>
      <w:bookmarkEnd w:id="107"/>
      <w:bookmarkEnd w:id="108"/>
      <w:bookmarkEnd w:id="109"/>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2025年度保城财政所部门（单位）政府采购支出总额0万元，其中：政府采购货物支出0万元、政府采购工程支出0万元、政府采购服务支出0万元。授予中小企业合同金额0万元，占政府采购支出总额的0%，其中：授予小微企业合同金额0万元，占授予中小企业合同金额的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10" w:name="_Toc19989_WPSOffice_Level2"/>
      <w:bookmarkStart w:id="111" w:name="_Toc10902_WPSOffice_Level2"/>
      <w:bookmarkStart w:id="112" w:name="_Toc527_WPSOffice_Level2"/>
      <w:bookmarkStart w:id="113" w:name="_Toc15129_WPSOffice_Level2"/>
      <w:bookmarkStart w:id="114" w:name="_Toc29584_WPSOffice_Level2"/>
      <w:bookmarkStart w:id="115" w:name="_Toc6016_WPSOffice_Level2"/>
      <w:r>
        <w:rPr>
          <w:rFonts w:hint="eastAsia" w:ascii="楷体" w:hAnsi="楷体" w:eastAsia="楷体" w:cs="楷体"/>
          <w:bCs/>
          <w:color w:val="auto"/>
          <w:sz w:val="32"/>
          <w:szCs w:val="32"/>
        </w:rPr>
        <w:t>（三）国有资产占用情况</w:t>
      </w:r>
      <w:bookmarkEnd w:id="110"/>
      <w:bookmarkEnd w:id="111"/>
      <w:bookmarkEnd w:id="112"/>
      <w:bookmarkEnd w:id="113"/>
      <w:bookmarkEnd w:id="114"/>
      <w:bookmarkEnd w:id="115"/>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截至2025年12月31日，本部门拥有房屋面积0平方米。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 xml:space="preserve">本部门共有车辆0辆，其中，副部（省）级及以上领导用车0辆、主要负责人用车0辆、机要通信用车0辆、应急保障用车0辆、执法执勤用车0辆、特种专业技术用车0辆、离退休干部服务用车0辆、其他用车0辆。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单价100万元（含）以上设备（不含车辆）0台（套）。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bookmarkStart w:id="116" w:name="_Toc15425_WPSOffice_Level1"/>
      <w:bookmarkStart w:id="117" w:name="_Toc8874_WPSOffice_Level1"/>
      <w:bookmarkStart w:id="118" w:name="_Toc8808_WPSOffice_Level1"/>
      <w:bookmarkStart w:id="119" w:name="_Toc11039_WPSOffice_Level1"/>
      <w:bookmarkStart w:id="120" w:name="_Toc4398_WPSOffice_Level1"/>
      <w:bookmarkStart w:id="121" w:name="_Toc17580_WPSOffice_Level1"/>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r>
        <w:rPr>
          <w:rFonts w:hint="eastAsia" w:ascii="黑体" w:hAnsi="ˎ̥" w:eastAsia="黑体"/>
          <w:color w:val="auto"/>
          <w:sz w:val="32"/>
          <w:szCs w:val="32"/>
        </w:rPr>
        <w:t>第四部分  名词解释</w:t>
      </w:r>
      <w:bookmarkEnd w:id="116"/>
      <w:bookmarkEnd w:id="117"/>
      <w:bookmarkEnd w:id="118"/>
      <w:bookmarkEnd w:id="119"/>
      <w:bookmarkEnd w:id="120"/>
      <w:bookmarkEnd w:id="121"/>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一、财政拨款收入：指同级政府财政部门当年拨付的各类财政拨款。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二、上级补助收入：指事业单位从主管部门和上级单位取得的非财政补助收入。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三、事业收入：指事业单位开展专业业务活动及辅助活动取得的收入。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四、经营收入：指事业单位在专业业务活动及其辅助活动之外开展非独立核算经营活动取得的收入。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五、附属单位上缴收入：指事业单位取得附属独立核算单位根据有关规定上缴的收入。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六、其他收入：指除上述“财政拨款收入”“事业收入”“上级补助收入”“经营收入”“附属单位上缴收入”等以外的收入。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七、使用非财政拨款结余（含专用结余）：指事业单位在当年的“财政拨款收入”“事业收入”“经营收入”“其他收入”等不足以安排当年支出的情况下，使用非同级财政拨款结余资金弥补本年度收支缺口。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八、年初结转和结余：指以前年度尚未完成、结转到本年按有关规定继续使用的资金，或项目已完成等产生的结余资金。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九、结余分配：指事业单位缴纳企业所得税以及从非财政拨款结余或经营结余中提取各类结余的情况。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十一、基本支出：指为保障机构正常运转、完成日常工作任务而发生的人员支出和公用支出。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十二、项目支出：指在基本支出之外为完成特定行政任务和事业发展目标所发生的支出。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十三、经营支出：指事业单位在专业业务活动及其辅助活动之外开展非独立核算经营活动发生的支出。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十四、“三公”经费：纳入本级财政预决算管理的“三公”经费，是指用一般公共预算财政拨款、政府性基金预算财政拨款及国有资本经营预算财政拨款安排的因公出国（境）费用、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十六、支出功能分类：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1.一般公共服务（类）财政事务（款）行政运行（项），反映行政单位（包括实行公务员管理的事业单位）；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2.一般公共服务（类）财政事务（款）其他财政事务支出（项），反映除上述项目以外其他财政事务方面的支出；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 w:eastAsia="仿宋_GB2312"/>
          <w:color w:val="auto"/>
          <w:sz w:val="32"/>
          <w:szCs w:val="32"/>
          <w:lang w:val="en-US" w:eastAsia="zh-CN"/>
        </w:rPr>
      </w:pPr>
      <w:r>
        <w:rPr>
          <w:rFonts w:hint="default" w:ascii="仿宋_GB2312" w:hAnsi="仿宋" w:eastAsia="仿宋_GB2312"/>
          <w:color w:val="auto"/>
          <w:sz w:val="32"/>
          <w:szCs w:val="32"/>
          <w:lang w:val="en-US" w:eastAsia="zh-CN"/>
        </w:rPr>
        <w:t>3.社会保障和就业（类）行政事业单位养老支出（款）机关事业单位基本养老保险缴费支出（项）</w:t>
      </w:r>
      <w:r>
        <w:rPr>
          <w:rFonts w:hint="eastAsia" w:ascii="仿宋_GB2312" w:hAnsi="仿宋" w:eastAsia="仿宋_GB2312"/>
          <w:color w:val="auto"/>
          <w:sz w:val="32"/>
          <w:szCs w:val="32"/>
          <w:lang w:val="en-US" w:eastAsia="zh-CN"/>
        </w:rPr>
        <w:t>，反映机关事业单位实施养老保险制度由单位缴纳的基本养老保险费支出；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color w:val="000000"/>
          <w:sz w:val="32"/>
          <w:szCs w:val="32"/>
          <w:lang w:val="en-US" w:eastAsia="zh-CN"/>
        </w:rPr>
      </w:pPr>
      <w:r>
        <w:rPr>
          <w:rFonts w:hint="default" w:ascii="仿宋_GB2312" w:hAnsi="ˎ̥" w:eastAsia="仿宋_GB2312"/>
          <w:color w:val="000000"/>
          <w:sz w:val="32"/>
          <w:szCs w:val="32"/>
          <w:lang w:val="en-US" w:eastAsia="zh-CN"/>
        </w:rPr>
        <w:t>4.社会保障和就业（类）行政事业单位养老支出（款）机关事业单位职业年金缴费支出（项）</w:t>
      </w:r>
      <w:r>
        <w:rPr>
          <w:rFonts w:hint="eastAsia" w:ascii="仿宋_GB2312" w:hAnsi="ˎ̥" w:eastAsia="仿宋_GB2312"/>
          <w:color w:val="000000"/>
          <w:sz w:val="32"/>
          <w:szCs w:val="32"/>
          <w:lang w:val="en-US" w:eastAsia="zh-CN"/>
        </w:rPr>
        <w:t>，反映机关事业单位实施养老保险制度由单位缴纳的职业年金支出（含职业年金补记支出）；</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sz w:val="32"/>
          <w:szCs w:val="32"/>
          <w:lang w:val="en-US" w:eastAsia="zh-CN"/>
        </w:rPr>
      </w:pPr>
      <w:r>
        <w:rPr>
          <w:rFonts w:hint="default" w:ascii="仿宋_GB2312" w:hAnsi="ˎ̥" w:eastAsia="仿宋_GB2312"/>
          <w:sz w:val="32"/>
          <w:szCs w:val="32"/>
          <w:lang w:val="en-US" w:eastAsia="zh-CN"/>
        </w:rPr>
        <w:t>5.卫生健康（类）行政事业单位医疗（款）行政单位医疗（项）</w:t>
      </w:r>
      <w:r>
        <w:rPr>
          <w:rFonts w:hint="eastAsia" w:ascii="仿宋_GB2312" w:hAnsi="ˎ̥" w:eastAsia="仿宋_GB2312"/>
          <w:sz w:val="32"/>
          <w:szCs w:val="32"/>
          <w:lang w:val="en-US" w:eastAsia="zh-CN"/>
        </w:rPr>
        <w:t>，反映财政部门安排的行政单位（</w:t>
      </w:r>
      <w:r>
        <w:rPr>
          <w:rFonts w:hint="eastAsia" w:ascii="仿宋_GB2312" w:hAnsi="ˎ̥" w:eastAsia="仿宋_GB2312"/>
          <w:sz w:val="32"/>
          <w:szCs w:val="32"/>
          <w:lang w:eastAsia="zh-CN"/>
        </w:rPr>
        <w:t>包括实行公务员管理的事业单位，下同</w:t>
      </w:r>
      <w:r>
        <w:rPr>
          <w:rFonts w:hint="eastAsia" w:ascii="仿宋_GB2312" w:hAnsi="ˎ̥" w:eastAsia="仿宋_GB2312"/>
          <w:sz w:val="32"/>
          <w:szCs w:val="32"/>
          <w:lang w:val="en-US" w:eastAsia="zh-CN"/>
        </w:rPr>
        <w:t>）基本医疗保险缴费经费，未参加医疗保险的行政单位的公费医疗经费，按国家规定享受离休人员、红军老战士待遇人员的医疗经费；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sz w:val="32"/>
          <w:szCs w:val="32"/>
          <w:lang w:val="en-US" w:eastAsia="zh-CN"/>
        </w:rPr>
      </w:pPr>
      <w:r>
        <w:rPr>
          <w:rFonts w:hint="default" w:ascii="仿宋_GB2312" w:hAnsi="ˎ̥" w:eastAsia="仿宋_GB2312"/>
          <w:sz w:val="32"/>
          <w:szCs w:val="32"/>
          <w:lang w:val="en-US" w:eastAsia="zh-CN"/>
        </w:rPr>
        <w:t>6.卫生健康（类）行政事业单位医疗（款）公务员医疗补助（项）</w:t>
      </w:r>
      <w:r>
        <w:rPr>
          <w:rFonts w:hint="eastAsia" w:ascii="仿宋_GB2312" w:hAnsi="ˎ̥" w:eastAsia="仿宋_GB2312"/>
          <w:sz w:val="32"/>
          <w:szCs w:val="32"/>
          <w:lang w:val="en-US" w:eastAsia="zh-CN"/>
        </w:rPr>
        <w:t>，反映财政部门安排的公务员医疗补助经费；</w:t>
      </w:r>
    </w:p>
    <w:p>
      <w:pPr>
        <w:pStyle w:val="2"/>
        <w:rPr>
          <w:rFonts w:hint="eastAsia"/>
          <w:lang w:val="en-US" w:eastAsia="zh-CN"/>
        </w:rPr>
      </w:pPr>
      <w:r>
        <w:rPr>
          <w:rFonts w:hint="default" w:ascii="仿宋_GB2312" w:hAnsi="ˎ̥" w:eastAsia="仿宋_GB2312"/>
          <w:sz w:val="32"/>
          <w:szCs w:val="32"/>
          <w:lang w:val="en-US" w:eastAsia="zh-CN"/>
        </w:rPr>
        <w:t>7.住房保障（类）住房改革支出（款）住房公积金（项）</w:t>
      </w:r>
      <w:r>
        <w:rPr>
          <w:rFonts w:hint="eastAsia" w:ascii="仿宋_GB2312" w:hAnsi="ˎ̥" w:eastAsia="仿宋_GB2312"/>
          <w:sz w:val="32"/>
          <w:szCs w:val="32"/>
          <w:lang w:val="en-US" w:eastAsia="zh-CN"/>
        </w:rPr>
        <w:t>，反映行政事业单位按人力资源和社会保障部、财政部规定的基本工资和津贴补贴以及规定比例为职工缴纳的住房公积金。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rPr>
          <w:color w:val="auto"/>
        </w:rPr>
      </w:pP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decorative"/>
    <w:pitch w:val="default"/>
    <w:sig w:usb0="00000000" w:usb1="00000000" w:usb2="00000000" w:usb3="00000000" w:csb0="00040000" w:csb1="00000000"/>
  </w:font>
  <w:font w:name="FangSong_GB2312">
    <w:altName w:val="仿宋"/>
    <w:panose1 w:val="02010609060101010101"/>
    <w:charset w:val="86"/>
    <w:family w:val="decorative"/>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Noto Sans SC Light">
    <w:panose1 w:val="020B0200000000000000"/>
    <w:charset w:val="86"/>
    <w:family w:val="auto"/>
    <w:pitch w:val="default"/>
    <w:sig w:usb0="20000083" w:usb1="2ADF3C10" w:usb2="00000016" w:usb3="00000000" w:csb0="60060107" w:csb1="00000000"/>
  </w:font>
  <w:font w:name="微软雅黑 Light">
    <w:panose1 w:val="020B0502040204020203"/>
    <w:charset w:val="86"/>
    <w:family w:val="auto"/>
    <w:pitch w:val="default"/>
    <w:sig w:usb0="80000287" w:usb1="2ACF0010" w:usb2="00000016" w:usb3="00000000" w:csb0="0004001F" w:csb1="00000000"/>
  </w:font>
  <w:font w:name="MingLiU-ExtB">
    <w:panose1 w:val="02020500000000000000"/>
    <w:charset w:val="88"/>
    <w:family w:val="auto"/>
    <w:pitch w:val="default"/>
    <w:sig w:usb0="8000002F" w:usb1="02000008" w:usb2="00000000" w:usb3="00000000" w:csb0="00100001" w:csb1="00000000"/>
  </w:font>
  <w:font w:name="Microsoft YaHei UI Light">
    <w:panose1 w:val="020B0502040204020203"/>
    <w:charset w:val="86"/>
    <w:family w:val="auto"/>
    <w:pitch w:val="default"/>
    <w:sig w:usb0="80000287" w:usb1="2ACF001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Fonts w:hint="eastAsia" w:ascii="宋体" w:hAnsi="宋体" w:eastAsia="宋体" w:cs="宋体"/>
        <w:sz w:val="28"/>
        <w:szCs w:val="28"/>
      </w:rPr>
    </w:pPr>
    <w:r>
      <w:rPr>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1"/>
        <w:rFonts w:hint="eastAsia" w:ascii="宋体" w:hAnsi="宋体" w:eastAsia="宋体" w:cs="宋体"/>
        <w:sz w:val="28"/>
        <w:szCs w:val="28"/>
      </w:rPr>
      <w:t>18</w:t>
    </w:r>
    <w:r>
      <w:rPr>
        <w:rFonts w:hint="eastAsia" w:ascii="宋体" w:hAnsi="宋体" w:eastAsia="宋体" w:cs="宋体"/>
        <w:sz w:val="28"/>
        <w:szCs w:val="28"/>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7ABA8A"/>
    <w:multiLevelType w:val="singleLevel"/>
    <w:tmpl w:val="DE7ABA8A"/>
    <w:lvl w:ilvl="0" w:tentative="0">
      <w:start w:val="1"/>
      <w:numFmt w:val="chineseCounting"/>
      <w:suff w:val="nothing"/>
      <w:lvlText w:val="%1、"/>
      <w:lvlJc w:val="left"/>
      <w:rPr>
        <w:rFonts w:hint="eastAsia"/>
      </w:rPr>
    </w:lvl>
  </w:abstractNum>
  <w:abstractNum w:abstractNumId="1">
    <w:nsid w:val="6A7D323A"/>
    <w:multiLevelType w:val="singleLevel"/>
    <w:tmpl w:val="6A7D323A"/>
    <w:lvl w:ilvl="0" w:tentative="0">
      <w:start w:val="1"/>
      <w:numFmt w:val="chineseCounting"/>
      <w:suff w:val="nothing"/>
      <w:lvlText w:val="%1、"/>
      <w:lvlJc w:val="left"/>
    </w:lvl>
  </w:abstractNum>
  <w:abstractNum w:abstractNumId="2">
    <w:nsid w:val="6A7D32A3"/>
    <w:multiLevelType w:val="singleLevel"/>
    <w:tmpl w:val="6A7D32A3"/>
    <w:lvl w:ilvl="0" w:tentative="0">
      <w:start w:val="1"/>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19C32D5"/>
    <w:rsid w:val="035166A0"/>
    <w:rsid w:val="03AF1619"/>
    <w:rsid w:val="04CB1139"/>
    <w:rsid w:val="055C1145"/>
    <w:rsid w:val="06400C4E"/>
    <w:rsid w:val="080B7C62"/>
    <w:rsid w:val="09201287"/>
    <w:rsid w:val="09227552"/>
    <w:rsid w:val="0AF81AF7"/>
    <w:rsid w:val="0B8646CF"/>
    <w:rsid w:val="0CF640DA"/>
    <w:rsid w:val="0EBC76B3"/>
    <w:rsid w:val="0F0D0E98"/>
    <w:rsid w:val="0F5B4403"/>
    <w:rsid w:val="0F64775C"/>
    <w:rsid w:val="0FC80124"/>
    <w:rsid w:val="106D0892"/>
    <w:rsid w:val="12985975"/>
    <w:rsid w:val="12BD0A96"/>
    <w:rsid w:val="136F98C7"/>
    <w:rsid w:val="13BE659F"/>
    <w:rsid w:val="13CC1D73"/>
    <w:rsid w:val="16327718"/>
    <w:rsid w:val="16521ABC"/>
    <w:rsid w:val="17427E68"/>
    <w:rsid w:val="1755065F"/>
    <w:rsid w:val="17F378CF"/>
    <w:rsid w:val="1AFC29C9"/>
    <w:rsid w:val="1BEA08FD"/>
    <w:rsid w:val="1CA52F2E"/>
    <w:rsid w:val="1E3630B9"/>
    <w:rsid w:val="1E766B63"/>
    <w:rsid w:val="211333A4"/>
    <w:rsid w:val="22FB1D2D"/>
    <w:rsid w:val="24013373"/>
    <w:rsid w:val="26154D5B"/>
    <w:rsid w:val="26B3210B"/>
    <w:rsid w:val="26EEC2B5"/>
    <w:rsid w:val="291770FA"/>
    <w:rsid w:val="29472309"/>
    <w:rsid w:val="2B406E77"/>
    <w:rsid w:val="2B550AD5"/>
    <w:rsid w:val="2BF67536"/>
    <w:rsid w:val="2C2A0C43"/>
    <w:rsid w:val="2C895B0F"/>
    <w:rsid w:val="2D1E73A5"/>
    <w:rsid w:val="2D984D48"/>
    <w:rsid w:val="2DAA682A"/>
    <w:rsid w:val="32717154"/>
    <w:rsid w:val="33EE29CD"/>
    <w:rsid w:val="34B63260"/>
    <w:rsid w:val="37FDA7E2"/>
    <w:rsid w:val="389D2A9B"/>
    <w:rsid w:val="3A314D88"/>
    <w:rsid w:val="3A746883"/>
    <w:rsid w:val="3BDA0E1D"/>
    <w:rsid w:val="3BE76544"/>
    <w:rsid w:val="3C52313D"/>
    <w:rsid w:val="3C8A1D00"/>
    <w:rsid w:val="3CA15DE9"/>
    <w:rsid w:val="3D0F0457"/>
    <w:rsid w:val="3D194447"/>
    <w:rsid w:val="3DFA2EB5"/>
    <w:rsid w:val="3FD02B45"/>
    <w:rsid w:val="3FE61EE5"/>
    <w:rsid w:val="403D6351"/>
    <w:rsid w:val="406508EE"/>
    <w:rsid w:val="408D6263"/>
    <w:rsid w:val="409413B1"/>
    <w:rsid w:val="41B40CEE"/>
    <w:rsid w:val="421D406A"/>
    <w:rsid w:val="42834F1E"/>
    <w:rsid w:val="43EF2C53"/>
    <w:rsid w:val="45060392"/>
    <w:rsid w:val="46744FC8"/>
    <w:rsid w:val="46773AE2"/>
    <w:rsid w:val="48317291"/>
    <w:rsid w:val="484D5079"/>
    <w:rsid w:val="485F7024"/>
    <w:rsid w:val="488F68F0"/>
    <w:rsid w:val="48C447EC"/>
    <w:rsid w:val="48CD1FF9"/>
    <w:rsid w:val="48E70666"/>
    <w:rsid w:val="49AD0D1A"/>
    <w:rsid w:val="4B593383"/>
    <w:rsid w:val="4C6877E5"/>
    <w:rsid w:val="4D4E6D7A"/>
    <w:rsid w:val="4D6A468D"/>
    <w:rsid w:val="4D7A018B"/>
    <w:rsid w:val="4E7136C6"/>
    <w:rsid w:val="4EA86137"/>
    <w:rsid w:val="514528D1"/>
    <w:rsid w:val="519B125F"/>
    <w:rsid w:val="51BD0BBB"/>
    <w:rsid w:val="51DA7627"/>
    <w:rsid w:val="53DC0AAE"/>
    <w:rsid w:val="54AB6860"/>
    <w:rsid w:val="55384597"/>
    <w:rsid w:val="55B9445C"/>
    <w:rsid w:val="56031AB3"/>
    <w:rsid w:val="56B81EA5"/>
    <w:rsid w:val="56CA7FD0"/>
    <w:rsid w:val="57832294"/>
    <w:rsid w:val="57FA38D1"/>
    <w:rsid w:val="58174786"/>
    <w:rsid w:val="58DF12CF"/>
    <w:rsid w:val="5A6A4AC7"/>
    <w:rsid w:val="5AB97EAE"/>
    <w:rsid w:val="5C033008"/>
    <w:rsid w:val="5C44562D"/>
    <w:rsid w:val="5D9E1657"/>
    <w:rsid w:val="5DB519F3"/>
    <w:rsid w:val="5F7D3333"/>
    <w:rsid w:val="601D7037"/>
    <w:rsid w:val="61385890"/>
    <w:rsid w:val="64CC0566"/>
    <w:rsid w:val="65084205"/>
    <w:rsid w:val="66CB4B3F"/>
    <w:rsid w:val="66D010CE"/>
    <w:rsid w:val="67D50A33"/>
    <w:rsid w:val="687436E1"/>
    <w:rsid w:val="6A6B4546"/>
    <w:rsid w:val="6A8E20AF"/>
    <w:rsid w:val="6DA45C50"/>
    <w:rsid w:val="6E245F1B"/>
    <w:rsid w:val="6E9A7825"/>
    <w:rsid w:val="6F670F9B"/>
    <w:rsid w:val="71DD0753"/>
    <w:rsid w:val="737450E0"/>
    <w:rsid w:val="74054476"/>
    <w:rsid w:val="742F38C4"/>
    <w:rsid w:val="74AB66DC"/>
    <w:rsid w:val="74C4154C"/>
    <w:rsid w:val="756B0923"/>
    <w:rsid w:val="75956FFF"/>
    <w:rsid w:val="778D20C9"/>
    <w:rsid w:val="77AA2D01"/>
    <w:rsid w:val="783C4637"/>
    <w:rsid w:val="793C6888"/>
    <w:rsid w:val="79B6113E"/>
    <w:rsid w:val="7A720CDB"/>
    <w:rsid w:val="7C90130F"/>
    <w:rsid w:val="7CDE1DBD"/>
    <w:rsid w:val="7D943A85"/>
    <w:rsid w:val="7DB0448C"/>
    <w:rsid w:val="7E5F9AA4"/>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2"/>
      <w:lang w:val="en-US" w:eastAsia="zh-CN"/>
    </w:rPr>
  </w:style>
  <w:style w:type="paragraph" w:styleId="4">
    <w:name w:val="annotation text"/>
    <w:basedOn w:val="1"/>
    <w:link w:val="13"/>
    <w:qFormat/>
    <w:uiPriority w:val="0"/>
    <w:pPr>
      <w:jc w:val="left"/>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6"/>
    <w:qFormat/>
    <w:uiPriority w:val="0"/>
    <w:rPr>
      <w:b/>
      <w:bCs/>
    </w:rPr>
  </w:style>
  <w:style w:type="character" w:styleId="11">
    <w:name w:val="page number"/>
    <w:qFormat/>
    <w:uiPriority w:val="0"/>
  </w:style>
  <w:style w:type="character" w:styleId="12">
    <w:name w:val="annotation reference"/>
    <w:qFormat/>
    <w:uiPriority w:val="0"/>
    <w:rPr>
      <w:sz w:val="21"/>
      <w:szCs w:val="21"/>
    </w:rPr>
  </w:style>
  <w:style w:type="character" w:customStyle="1" w:styleId="13">
    <w:name w:val="批注文字 Char"/>
    <w:link w:val="4"/>
    <w:qFormat/>
    <w:uiPriority w:val="0"/>
    <w:rPr>
      <w:kern w:val="2"/>
      <w:sz w:val="21"/>
      <w:szCs w:val="24"/>
    </w:rPr>
  </w:style>
  <w:style w:type="character" w:customStyle="1" w:styleId="14">
    <w:name w:val="批注框文本 Char"/>
    <w:link w:val="5"/>
    <w:qFormat/>
    <w:uiPriority w:val="0"/>
    <w:rPr>
      <w:kern w:val="2"/>
      <w:sz w:val="18"/>
      <w:szCs w:val="18"/>
    </w:rPr>
  </w:style>
  <w:style w:type="character" w:customStyle="1" w:styleId="15">
    <w:name w:val="页眉 Char"/>
    <w:link w:val="7"/>
    <w:qFormat/>
    <w:uiPriority w:val="0"/>
    <w:rPr>
      <w:kern w:val="2"/>
      <w:sz w:val="18"/>
      <w:szCs w:val="18"/>
    </w:rPr>
  </w:style>
  <w:style w:type="character" w:customStyle="1" w:styleId="16">
    <w:name w:val="批注主题 Char"/>
    <w:link w:val="8"/>
    <w:qFormat/>
    <w:uiPriority w:val="0"/>
    <w:rPr>
      <w:b/>
      <w:bCs/>
      <w:kern w:val="2"/>
      <w:sz w:val="21"/>
      <w:szCs w:val="24"/>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WPSOffice手动目录 2"/>
    <w:qFormat/>
    <w:uiPriority w:val="0"/>
    <w:pPr>
      <w:ind w:leftChars="200"/>
    </w:pPr>
    <w:rPr>
      <w:rFonts w:ascii="Times New Roman" w:hAnsi="Times New Roman" w:eastAsia="宋体" w:cs="Times New Roman"/>
      <w:lang w:val="en-US" w:eastAsia="zh-CN" w:bidi="ar-SA"/>
    </w:rPr>
  </w:style>
  <w:style w:type="paragraph" w:customStyle="1" w:styleId="19">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1086</Words>
  <Characters>2053</Characters>
  <Lines>67</Lines>
  <Paragraphs>18</Paragraphs>
  <TotalTime>61</TotalTime>
  <ScaleCrop>false</ScaleCrop>
  <LinksUpToDate>false</LinksUpToDate>
  <CharactersWithSpaces>2089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DELL</cp:lastModifiedBy>
  <cp:lastPrinted>2026-08-14T01:21:00Z</cp:lastPrinted>
  <dcterms:modified xsi:type="dcterms:W3CDTF">2026-08-14T02:30:48Z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03AE7F14E2DC4BACB053764200FF950D_13</vt:lpwstr>
  </property>
  <property fmtid="{D5CDD505-2E9C-101B-9397-08002B2CF9AE}" pid="4" name="KSOTemplateDocerSaveRecord">
    <vt:lpwstr>eyJoZGlkIjoiY2VlZThlZDk5ZTQ4MTFjNGY3MjIxNTdiOWMzZmQwMWMiLCJ1c2VySWQiOiIyMzQ5MTc1OTYifQ==</vt:lpwstr>
  </property>
</Properties>
</file>