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wordWrap/>
        <w:overflowPunct/>
        <w:topLinePunct w:val="0"/>
        <w:bidi w:val="0"/>
        <w:ind w:left="0" w:leftChars="0" w:firstLine="0" w:firstLineChars="0"/>
        <w:jc w:val="center"/>
        <w:rPr>
          <w:rFonts w:hint="eastAsia" w:ascii="方正公文小标宋" w:hAnsi="方正公文小标宋" w:eastAsia="方正公文小标宋" w:cs="方正公文小标宋"/>
          <w:b w:val="0"/>
          <w:bCs w:val="0"/>
          <w:sz w:val="44"/>
          <w:szCs w:val="44"/>
        </w:rPr>
      </w:pPr>
      <w:r>
        <w:rPr>
          <w:rFonts w:hint="eastAsia" w:ascii="方正公文小标宋" w:hAnsi="方正公文小标宋" w:eastAsia="方正公文小标宋" w:cs="方正公文小标宋"/>
          <w:b w:val="0"/>
          <w:bCs w:val="0"/>
          <w:sz w:val="44"/>
          <w:szCs w:val="44"/>
        </w:rPr>
        <w:t>保亭黎族苗族自治县</w:t>
      </w:r>
    </w:p>
    <w:p>
      <w:pPr>
        <w:keepNext w:val="0"/>
        <w:keepLines w:val="0"/>
        <w:pageBreakBefore w:val="0"/>
        <w:widowControl w:val="0"/>
        <w:wordWrap/>
        <w:overflowPunct/>
        <w:topLinePunct w:val="0"/>
        <w:bidi w:val="0"/>
        <w:ind w:left="0" w:leftChars="0" w:firstLine="0" w:firstLineChars="0"/>
        <w:jc w:val="center"/>
        <w:rPr>
          <w:rFonts w:hint="eastAsia" w:ascii="方正公文小标宋" w:hAnsi="方正公文小标宋" w:eastAsia="方正公文小标宋" w:cs="方正公文小标宋"/>
          <w:b w:val="0"/>
          <w:bCs w:val="0"/>
          <w:sz w:val="44"/>
          <w:szCs w:val="44"/>
        </w:rPr>
      </w:pPr>
      <w:r>
        <w:rPr>
          <w:rFonts w:hint="eastAsia" w:ascii="方正公文小标宋" w:hAnsi="方正公文小标宋" w:eastAsia="方正公文小标宋" w:cs="方正公文小标宋"/>
          <w:b w:val="0"/>
          <w:bCs w:val="0"/>
          <w:sz w:val="44"/>
          <w:szCs w:val="44"/>
        </w:rPr>
        <w:t>关于进一步加快推进优先发展</w:t>
      </w:r>
    </w:p>
    <w:p>
      <w:pPr>
        <w:keepNext w:val="0"/>
        <w:keepLines w:val="0"/>
        <w:pageBreakBefore w:val="0"/>
        <w:widowControl w:val="0"/>
        <w:wordWrap/>
        <w:overflowPunct/>
        <w:topLinePunct w:val="0"/>
        <w:bidi w:val="0"/>
        <w:ind w:left="0" w:leftChars="0" w:firstLine="0" w:firstLineChars="0"/>
        <w:jc w:val="center"/>
        <w:rPr>
          <w:rFonts w:hint="eastAsia" w:ascii="方正公文小标宋" w:hAnsi="方正公文小标宋" w:eastAsia="方正公文小标宋" w:cs="方正公文小标宋"/>
          <w:b w:val="0"/>
          <w:bCs w:val="0"/>
          <w:sz w:val="44"/>
          <w:szCs w:val="44"/>
        </w:rPr>
      </w:pPr>
      <w:r>
        <w:rPr>
          <w:rFonts w:hint="eastAsia" w:ascii="方正公文小标宋" w:hAnsi="方正公文小标宋" w:eastAsia="方正公文小标宋" w:cs="方正公文小标宋"/>
          <w:b w:val="0"/>
          <w:bCs w:val="0"/>
          <w:sz w:val="44"/>
          <w:szCs w:val="44"/>
        </w:rPr>
        <w:t>公共交通的实施意见</w:t>
      </w:r>
      <w:r>
        <w:rPr>
          <w:rFonts w:hint="eastAsia" w:ascii="方正公文小标宋" w:hAnsi="方正公文小标宋" w:eastAsia="方正公文小标宋" w:cs="方正公文小标宋"/>
          <w:color w:val="000000"/>
          <w:sz w:val="44"/>
          <w:szCs w:val="44"/>
          <w:lang w:val="en-US" w:eastAsia="zh-CN" w:bidi="ar"/>
          <w:rPrChange w:id="0" w:author="Administrator" w:date="2024-03-28T22:21:29Z">
            <w:rPr>
              <w:rFonts w:hint="eastAsia" w:ascii="方正公文小标宋" w:hAnsi="方正公文小标宋" w:eastAsia="方正公文小标宋" w:cs="方正公文小标宋"/>
              <w:color w:val="000000"/>
              <w:sz w:val="44"/>
              <w:szCs w:val="44"/>
              <w:lang w:val="en-US" w:eastAsia="zh-CN" w:bidi="ar"/>
            </w:rPr>
          </w:rPrChange>
        </w:rPr>
        <w:t>（征求意见稿）</w:t>
      </w:r>
    </w:p>
    <w:p>
      <w:pPr>
        <w:keepNext w:val="0"/>
        <w:keepLines w:val="0"/>
        <w:pageBreakBefore w:val="0"/>
        <w:widowControl w:val="0"/>
        <w:wordWrap/>
        <w:overflowPunct/>
        <w:topLinePunct w:val="0"/>
        <w:bidi w:val="0"/>
        <w:ind w:left="0" w:leftChars="0" w:firstLine="0" w:firstLineChars="0"/>
      </w:pPr>
      <w:bookmarkStart w:id="0" w:name="_GoBack"/>
      <w:bookmarkEnd w:id="0"/>
    </w:p>
    <w:p>
      <w:pPr>
        <w:keepNext w:val="0"/>
        <w:keepLines w:val="0"/>
        <w:pageBreakBefore w:val="0"/>
        <w:widowControl w:val="0"/>
        <w:kinsoku w:val="0"/>
        <w:wordWrap/>
        <w:overflowPunct/>
        <w:topLinePunct w:val="0"/>
        <w:autoSpaceDE w:val="0"/>
        <w:autoSpaceDN w:val="0"/>
        <w:bidi w:val="0"/>
        <w:adjustRightInd w:val="0"/>
        <w:snapToGrid w:val="0"/>
        <w:spacing w:beforeAutospacing="0" w:afterAutospacing="0" w:line="560" w:lineRule="exact"/>
        <w:textAlignment w:val="baseline"/>
        <w:rPr>
          <w:rFonts w:hint="eastAsia" w:eastAsia="仿宋"/>
          <w:color w:val="auto"/>
          <w:lang w:eastAsia="zh-CN"/>
        </w:rPr>
      </w:pPr>
      <w:r>
        <w:rPr>
          <w:rFonts w:hint="eastAsia"/>
        </w:rPr>
        <w:t>为全面贯彻落实党的二十大精神，深入</w:t>
      </w:r>
      <w:r>
        <w:rPr>
          <w:rFonts w:hint="eastAsia"/>
          <w:lang w:val="en-US" w:eastAsia="zh-CN"/>
        </w:rPr>
        <w:t>实施</w:t>
      </w:r>
      <w:r>
        <w:rPr>
          <w:rFonts w:hint="eastAsia"/>
        </w:rPr>
        <w:t>公共交通优先发展战略，加快推进</w:t>
      </w:r>
      <w:r>
        <w:rPr>
          <w:rFonts w:hint="eastAsia"/>
          <w:lang w:val="en-US" w:eastAsia="zh-CN"/>
        </w:rPr>
        <w:t>我县</w:t>
      </w:r>
      <w:r>
        <w:rPr>
          <w:rFonts w:hint="eastAsia"/>
        </w:rPr>
        <w:t>公共交通健康可持续发展，根据国家和省有关文件精神，结合我县实际，</w:t>
      </w:r>
      <w:r>
        <w:rPr>
          <w:rFonts w:hint="eastAsia"/>
          <w:color w:val="auto"/>
        </w:rPr>
        <w:t>现提出如下实施意见</w:t>
      </w:r>
      <w:r>
        <w:rPr>
          <w:rFonts w:hint="eastAsia"/>
          <w:color w:val="auto"/>
          <w:lang w:eastAsia="zh-CN"/>
        </w:rPr>
        <w:t>。</w:t>
      </w:r>
    </w:p>
    <w:p>
      <w:pPr>
        <w:keepNext w:val="0"/>
        <w:keepLines w:val="0"/>
        <w:pageBreakBefore w:val="0"/>
        <w:widowControl w:val="0"/>
        <w:kinsoku w:val="0"/>
        <w:wordWrap/>
        <w:overflowPunct/>
        <w:topLinePunct w:val="0"/>
        <w:autoSpaceDE w:val="0"/>
        <w:autoSpaceDN w:val="0"/>
        <w:bidi w:val="0"/>
        <w:adjustRightInd w:val="0"/>
        <w:snapToGrid w:val="0"/>
        <w:spacing w:beforeAutospacing="0" w:afterAutospacing="0" w:line="560" w:lineRule="exact"/>
        <w:textAlignment w:val="baseline"/>
        <w:rPr>
          <w:rFonts w:hint="eastAsia" w:ascii="黑体" w:hAnsi="黑体" w:eastAsia="黑体" w:cs="黑体"/>
        </w:rPr>
      </w:pPr>
      <w:r>
        <w:rPr>
          <w:rFonts w:hint="eastAsia" w:ascii="黑体" w:hAnsi="黑体" w:eastAsia="黑体" w:cs="黑体"/>
        </w:rPr>
        <w:t>一、总体要求</w:t>
      </w:r>
    </w:p>
    <w:p>
      <w:pPr>
        <w:pStyle w:val="9"/>
        <w:keepNext w:val="0"/>
        <w:keepLines w:val="0"/>
        <w:pageBreakBefore w:val="0"/>
        <w:widowControl w:val="0"/>
        <w:kinsoku w:val="0"/>
        <w:wordWrap/>
        <w:overflowPunct/>
        <w:topLinePunct w:val="0"/>
        <w:autoSpaceDE w:val="0"/>
        <w:autoSpaceDN w:val="0"/>
        <w:bidi w:val="0"/>
        <w:adjustRightInd w:val="0"/>
        <w:snapToGrid w:val="0"/>
        <w:spacing w:beforeAutospacing="0" w:afterAutospacing="0" w:line="560" w:lineRule="exact"/>
        <w:textAlignment w:val="baseline"/>
        <w:rPr>
          <w:rFonts w:hint="eastAsia" w:ascii="楷体" w:hAnsi="楷体" w:eastAsia="楷体" w:cs="楷体"/>
          <w:b/>
          <w:bCs/>
          <w:sz w:val="32"/>
        </w:rPr>
      </w:pPr>
      <w:r>
        <w:rPr>
          <w:rFonts w:hint="eastAsia" w:ascii="楷体" w:hAnsi="楷体" w:eastAsia="楷体" w:cs="楷体"/>
          <w:b/>
          <w:bCs/>
          <w:sz w:val="32"/>
        </w:rPr>
        <w:t>（一）指导思想。</w:t>
      </w:r>
    </w:p>
    <w:p>
      <w:pPr>
        <w:keepNext w:val="0"/>
        <w:keepLines w:val="0"/>
        <w:pageBreakBefore w:val="0"/>
        <w:widowControl w:val="0"/>
        <w:kinsoku w:val="0"/>
        <w:wordWrap/>
        <w:overflowPunct/>
        <w:topLinePunct w:val="0"/>
        <w:autoSpaceDE w:val="0"/>
        <w:autoSpaceDN w:val="0"/>
        <w:bidi w:val="0"/>
        <w:adjustRightInd w:val="0"/>
        <w:snapToGrid w:val="0"/>
        <w:spacing w:beforeAutospacing="0" w:afterAutospacing="0" w:line="560" w:lineRule="exact"/>
        <w:jc w:val="both"/>
        <w:textAlignment w:val="baseline"/>
      </w:pPr>
      <w:r>
        <w:rPr>
          <w:rFonts w:hint="eastAsia"/>
        </w:rPr>
        <w:t>以习近平新时代中国特色社会主义思想为指导，深入贯彻党的二十大精神，坚持以人民为中心的发展思想</w:t>
      </w:r>
      <w:r>
        <w:rPr>
          <w:rFonts w:hint="eastAsia"/>
          <w:color w:val="auto"/>
        </w:rPr>
        <w:t>，</w:t>
      </w:r>
      <w:r>
        <w:rPr>
          <w:rFonts w:hint="eastAsia"/>
          <w:color w:val="auto"/>
          <w:u w:val="none"/>
          <w:lang w:eastAsia="zh-CN"/>
        </w:rPr>
        <w:t>贯彻</w:t>
      </w:r>
      <w:r>
        <w:rPr>
          <w:rFonts w:hint="eastAsia"/>
          <w:color w:val="auto"/>
          <w:u w:val="none"/>
        </w:rPr>
        <w:t>新发展理念</w:t>
      </w:r>
      <w:r>
        <w:rPr>
          <w:rFonts w:hint="eastAsia"/>
          <w:color w:val="auto"/>
          <w:u w:val="none"/>
          <w:lang w:eastAsia="zh-CN"/>
        </w:rPr>
        <w:t>，</w:t>
      </w:r>
      <w:r>
        <w:rPr>
          <w:rFonts w:hint="eastAsia"/>
          <w:color w:val="auto"/>
        </w:rPr>
        <w:t>紧紧围绕交通强国和交通强省战略部</w:t>
      </w:r>
      <w:r>
        <w:rPr>
          <w:rFonts w:hint="eastAsia"/>
        </w:rPr>
        <w:t>署，通过</w:t>
      </w:r>
      <w:r>
        <w:rPr>
          <w:rFonts w:hint="eastAsia"/>
          <w:color w:val="auto"/>
          <w:lang w:val="en-US" w:eastAsia="zh-CN"/>
        </w:rPr>
        <w:t>进一步</w:t>
      </w:r>
      <w:r>
        <w:rPr>
          <w:rFonts w:hint="eastAsia"/>
          <w:color w:val="auto"/>
        </w:rPr>
        <w:t>优化完善配套机制、全面落实</w:t>
      </w:r>
      <w:r>
        <w:rPr>
          <w:rFonts w:hint="eastAsia"/>
          <w:color w:val="auto"/>
          <w:lang w:val="en-US" w:eastAsia="zh-CN"/>
        </w:rPr>
        <w:t>公交</w:t>
      </w:r>
      <w:r>
        <w:rPr>
          <w:rFonts w:hint="eastAsia"/>
          <w:color w:val="auto"/>
        </w:rPr>
        <w:t>优先发展措施和积极开展“示范创建</w:t>
      </w:r>
      <w:r>
        <w:rPr>
          <w:rFonts w:hint="default"/>
          <w:color w:val="auto"/>
          <w:lang w:val="en-US" w:eastAsia="zh-CN"/>
        </w:rPr>
        <w:t>”</w:t>
      </w:r>
      <w:r>
        <w:rPr>
          <w:rFonts w:hint="eastAsia"/>
          <w:color w:val="auto"/>
        </w:rPr>
        <w:t>，建成安全可靠、经济适</w:t>
      </w:r>
      <w:r>
        <w:rPr>
          <w:rFonts w:hint="eastAsia"/>
          <w:color w:val="auto"/>
          <w:lang w:eastAsia="zh-CN"/>
        </w:rPr>
        <w:t>用</w:t>
      </w:r>
      <w:r>
        <w:rPr>
          <w:rFonts w:hint="eastAsia"/>
          <w:color w:val="auto"/>
        </w:rPr>
        <w:t>、快速便捷、绿色智能的公共交通服务体系，增强</w:t>
      </w:r>
      <w:r>
        <w:rPr>
          <w:rFonts w:hint="eastAsia"/>
          <w:color w:val="auto"/>
          <w:lang w:val="en-US" w:eastAsia="zh-CN"/>
        </w:rPr>
        <w:t>公交</w:t>
      </w:r>
      <w:r>
        <w:rPr>
          <w:rFonts w:hint="eastAsia"/>
          <w:color w:val="auto"/>
        </w:rPr>
        <w:t>竞</w:t>
      </w:r>
      <w:r>
        <w:rPr>
          <w:rFonts w:hint="eastAsia"/>
        </w:rPr>
        <w:t>争力和吸引力，为人民群众出行创造良好条件。</w:t>
      </w:r>
    </w:p>
    <w:p>
      <w:pPr>
        <w:pStyle w:val="9"/>
        <w:keepNext w:val="0"/>
        <w:keepLines w:val="0"/>
        <w:pageBreakBefore w:val="0"/>
        <w:widowControl w:val="0"/>
        <w:kinsoku w:val="0"/>
        <w:wordWrap/>
        <w:overflowPunct/>
        <w:topLinePunct w:val="0"/>
        <w:autoSpaceDE w:val="0"/>
        <w:autoSpaceDN w:val="0"/>
        <w:bidi w:val="0"/>
        <w:adjustRightInd w:val="0"/>
        <w:snapToGrid w:val="0"/>
        <w:spacing w:beforeAutospacing="0" w:afterAutospacing="0" w:line="560" w:lineRule="exact"/>
        <w:textAlignment w:val="baseline"/>
        <w:rPr>
          <w:rFonts w:hint="eastAsia" w:ascii="楷体" w:hAnsi="楷体" w:eastAsia="楷体" w:cs="楷体"/>
          <w:b/>
          <w:bCs/>
          <w:sz w:val="32"/>
        </w:rPr>
      </w:pPr>
      <w:r>
        <w:rPr>
          <w:rFonts w:hint="eastAsia" w:ascii="楷体" w:hAnsi="楷体" w:eastAsia="楷体" w:cs="楷体"/>
          <w:b/>
          <w:bCs/>
          <w:sz w:val="32"/>
        </w:rPr>
        <w:t>（二）主要目标。</w:t>
      </w:r>
    </w:p>
    <w:p>
      <w:pPr>
        <w:keepNext w:val="0"/>
        <w:keepLines w:val="0"/>
        <w:pageBreakBefore w:val="0"/>
        <w:widowControl w:val="0"/>
        <w:kinsoku w:val="0"/>
        <w:wordWrap/>
        <w:overflowPunct/>
        <w:topLinePunct w:val="0"/>
        <w:autoSpaceDE w:val="0"/>
        <w:autoSpaceDN w:val="0"/>
        <w:bidi w:val="0"/>
        <w:adjustRightInd w:val="0"/>
        <w:snapToGrid w:val="0"/>
        <w:spacing w:beforeAutospacing="0" w:afterAutospacing="0" w:line="560" w:lineRule="exact"/>
        <w:jc w:val="both"/>
        <w:textAlignment w:val="baseline"/>
        <w:rPr>
          <w:color w:val="auto"/>
        </w:rPr>
      </w:pPr>
      <w:r>
        <w:rPr>
          <w:rFonts w:hint="eastAsia" w:ascii="仿宋" w:hAnsi="仿宋" w:eastAsia="仿宋" w:cs="仿宋"/>
          <w:color w:val="auto"/>
        </w:rPr>
        <w:t>到20</w:t>
      </w:r>
      <w:r>
        <w:rPr>
          <w:rFonts w:hint="eastAsia" w:cs="仿宋"/>
          <w:color w:val="auto"/>
          <w:lang w:val="en-US" w:eastAsia="zh-CN"/>
        </w:rPr>
        <w:t>3</w:t>
      </w:r>
      <w:r>
        <w:rPr>
          <w:rFonts w:hint="eastAsia" w:ascii="仿宋" w:hAnsi="仿宋" w:eastAsia="仿宋" w:cs="仿宋"/>
          <w:color w:val="auto"/>
        </w:rPr>
        <w:t>5年</w:t>
      </w:r>
      <w:r>
        <w:rPr>
          <w:rFonts w:hint="eastAsia"/>
          <w:color w:val="auto"/>
        </w:rPr>
        <w:t>，</w:t>
      </w:r>
      <w:r>
        <w:rPr>
          <w:rFonts w:hint="default"/>
          <w:color w:val="auto"/>
          <w:lang w:val="en-US"/>
        </w:rPr>
        <w:t>公共交通</w:t>
      </w:r>
      <w:r>
        <w:rPr>
          <w:rFonts w:hint="eastAsia"/>
        </w:rPr>
        <w:t>高质量发展的政策规划体系健全完善，城乡公共交通基础设施更加完善，城乡客运一体化服务体系全面形成，城乡客运公共服务均等化水平明显提高，可持续发展能力明显增强，更好地服务经济社会</w:t>
      </w:r>
      <w:r>
        <w:rPr>
          <w:rFonts w:hint="eastAsia"/>
          <w:color w:val="auto"/>
        </w:rPr>
        <w:t>发展和人民群众</w:t>
      </w:r>
      <w:r>
        <w:rPr>
          <w:rFonts w:hint="eastAsia"/>
          <w:color w:val="auto"/>
          <w:lang w:val="en-US" w:eastAsia="zh-CN"/>
        </w:rPr>
        <w:t>便捷</w:t>
      </w:r>
      <w:r>
        <w:rPr>
          <w:rFonts w:hint="eastAsia"/>
          <w:color w:val="auto"/>
        </w:rPr>
        <w:t>出行。</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auto"/>
        <w:rPr>
          <w:rFonts w:hint="eastAsia" w:ascii="仿宋" w:hAnsi="仿宋" w:eastAsia="仿宋" w:cs="宋体"/>
          <w:color w:val="auto"/>
          <w:sz w:val="32"/>
          <w:szCs w:val="32"/>
          <w:highlight w:val="none"/>
          <w:lang w:val="en-US" w:eastAsia="zh-CN" w:bidi="ar-SA"/>
        </w:rPr>
      </w:pPr>
      <w:r>
        <w:rPr>
          <w:rFonts w:hint="eastAsia" w:cs="宋体"/>
          <w:color w:val="auto"/>
          <w:sz w:val="32"/>
          <w:szCs w:val="32"/>
          <w:highlight w:val="none"/>
          <w:lang w:val="en-US" w:eastAsia="zh-CN" w:bidi="ar-SA"/>
        </w:rPr>
        <w:t>1.</w:t>
      </w:r>
      <w:r>
        <w:rPr>
          <w:rFonts w:hint="eastAsia" w:ascii="仿宋" w:hAnsi="仿宋" w:eastAsia="仿宋" w:cs="宋体"/>
          <w:color w:val="auto"/>
          <w:sz w:val="32"/>
          <w:szCs w:val="32"/>
          <w:highlight w:val="none"/>
          <w:lang w:val="en-US" w:eastAsia="zh-CN" w:bidi="ar-SA"/>
        </w:rPr>
        <w:t>基础设施更加完善。到2025年末，中心城区公共交通站点500米覆盖率、新建城市居民区周边公交停靠站设置比例、城市公共汽电车进场率达到100%。到2035年末，具备条件的乡镇全部建有综合运输服务站点。</w:t>
      </w:r>
    </w:p>
    <w:p>
      <w:pPr>
        <w:keepNext w:val="0"/>
        <w:keepLines w:val="0"/>
        <w:pageBreakBefore w:val="0"/>
        <w:widowControl w:val="0"/>
        <w:kinsoku w:val="0"/>
        <w:wordWrap/>
        <w:overflowPunct/>
        <w:topLinePunct w:val="0"/>
        <w:autoSpaceDE w:val="0"/>
        <w:autoSpaceDN w:val="0"/>
        <w:bidi w:val="0"/>
        <w:adjustRightInd w:val="0"/>
        <w:snapToGrid w:val="0"/>
        <w:spacing w:beforeAutospacing="0" w:afterAutospacing="0" w:line="560" w:lineRule="exact"/>
        <w:jc w:val="both"/>
        <w:textAlignment w:val="baseline"/>
        <w:rPr>
          <w:rFonts w:hint="eastAsia" w:ascii="仿宋" w:hAnsi="仿宋" w:eastAsia="仿宋" w:cs="宋体"/>
          <w:color w:val="auto"/>
          <w:sz w:val="32"/>
          <w:szCs w:val="32"/>
          <w:highlight w:val="none"/>
          <w:lang w:val="en-US" w:eastAsia="zh-CN" w:bidi="ar-SA"/>
        </w:rPr>
      </w:pPr>
      <w:r>
        <w:rPr>
          <w:rFonts w:hint="eastAsia"/>
          <w:color w:val="auto"/>
          <w:highlight w:val="none"/>
          <w:lang w:val="en-US" w:eastAsia="zh-CN"/>
        </w:rPr>
        <w:t>2.</w:t>
      </w:r>
      <w:r>
        <w:rPr>
          <w:rFonts w:hint="eastAsia"/>
          <w:color w:val="auto"/>
          <w:highlight w:val="none"/>
        </w:rPr>
        <w:t>技术装备更加先进。</w:t>
      </w:r>
      <w:r>
        <w:rPr>
          <w:rFonts w:hint="eastAsia" w:cs="宋体"/>
          <w:color w:val="auto"/>
          <w:sz w:val="32"/>
          <w:szCs w:val="32"/>
          <w:highlight w:val="none"/>
          <w:lang w:val="en-US" w:eastAsia="zh-CN" w:bidi="ar-SA"/>
        </w:rPr>
        <w:t>到2025年末</w:t>
      </w:r>
      <w:r>
        <w:rPr>
          <w:rFonts w:hint="eastAsia" w:ascii="仿宋" w:hAnsi="仿宋" w:eastAsia="仿宋" w:cs="宋体"/>
          <w:color w:val="auto"/>
          <w:sz w:val="32"/>
          <w:szCs w:val="32"/>
          <w:highlight w:val="none"/>
          <w:lang w:val="en-US" w:eastAsia="zh-CN" w:bidi="ar-SA"/>
        </w:rPr>
        <w:t>，新增和更新</w:t>
      </w:r>
      <w:r>
        <w:rPr>
          <w:rFonts w:hint="eastAsia" w:cs="宋体"/>
          <w:color w:val="auto"/>
          <w:sz w:val="32"/>
          <w:szCs w:val="32"/>
          <w:highlight w:val="none"/>
          <w:lang w:val="en-US" w:eastAsia="zh-CN" w:bidi="ar-SA"/>
        </w:rPr>
        <w:t>公交运力</w:t>
      </w:r>
      <w:r>
        <w:rPr>
          <w:rFonts w:hint="eastAsia" w:ascii="仿宋" w:hAnsi="仿宋" w:eastAsia="仿宋" w:cs="宋体"/>
          <w:color w:val="auto"/>
          <w:sz w:val="32"/>
          <w:szCs w:val="32"/>
          <w:highlight w:val="none"/>
          <w:lang w:val="en-US" w:eastAsia="zh-CN" w:bidi="ar-SA"/>
        </w:rPr>
        <w:t>新能源</w:t>
      </w:r>
      <w:r>
        <w:rPr>
          <w:rFonts w:hint="eastAsia" w:cs="宋体"/>
          <w:color w:val="auto"/>
          <w:sz w:val="32"/>
          <w:szCs w:val="32"/>
          <w:highlight w:val="none"/>
          <w:lang w:val="en-US" w:eastAsia="zh-CN" w:bidi="ar-SA"/>
        </w:rPr>
        <w:t>车辆</w:t>
      </w:r>
      <w:r>
        <w:rPr>
          <w:rFonts w:hint="eastAsia" w:ascii="仿宋" w:hAnsi="仿宋" w:eastAsia="仿宋" w:cs="宋体"/>
          <w:color w:val="auto"/>
          <w:sz w:val="32"/>
          <w:szCs w:val="32"/>
          <w:highlight w:val="none"/>
          <w:lang w:val="en-US" w:eastAsia="zh-CN" w:bidi="ar-SA"/>
        </w:rPr>
        <w:t>比例达到100%（不包括应急救援车辆）；城市公交车载智能视频监控系统安装率达到100%；城市公共交通“一卡通”覆盖率达到100%</w:t>
      </w:r>
      <w:r>
        <w:rPr>
          <w:rFonts w:hint="eastAsia" w:cs="宋体"/>
          <w:color w:val="auto"/>
          <w:sz w:val="32"/>
          <w:szCs w:val="32"/>
          <w:highlight w:val="none"/>
          <w:lang w:val="en-US" w:eastAsia="zh-CN" w:bidi="ar-SA"/>
        </w:rPr>
        <w:t>。</w:t>
      </w:r>
    </w:p>
    <w:p>
      <w:pPr>
        <w:keepNext w:val="0"/>
        <w:keepLines w:val="0"/>
        <w:pageBreakBefore w:val="0"/>
        <w:widowControl w:val="0"/>
        <w:kinsoku w:val="0"/>
        <w:wordWrap/>
        <w:overflowPunct/>
        <w:topLinePunct w:val="0"/>
        <w:autoSpaceDE w:val="0"/>
        <w:autoSpaceDN w:val="0"/>
        <w:bidi w:val="0"/>
        <w:adjustRightInd w:val="0"/>
        <w:snapToGrid w:val="0"/>
        <w:spacing w:beforeAutospacing="0" w:afterAutospacing="0" w:line="560" w:lineRule="exact"/>
        <w:jc w:val="both"/>
        <w:textAlignment w:val="baseline"/>
        <w:rPr>
          <w:color w:val="auto"/>
          <w:highlight w:val="none"/>
        </w:rPr>
      </w:pPr>
      <w:r>
        <w:rPr>
          <w:rFonts w:hint="eastAsia"/>
          <w:color w:val="auto"/>
          <w:highlight w:val="none"/>
          <w:lang w:val="en-US" w:eastAsia="zh-CN"/>
        </w:rPr>
        <w:t>3</w:t>
      </w:r>
      <w:r>
        <w:rPr>
          <w:rFonts w:hint="eastAsia"/>
          <w:color w:val="auto"/>
          <w:highlight w:val="none"/>
        </w:rPr>
        <w:t>.运营安全更有保障。</w:t>
      </w:r>
      <w:r>
        <w:rPr>
          <w:rFonts w:hint="eastAsia"/>
          <w:color w:val="auto"/>
          <w:highlight w:val="none"/>
          <w:lang w:val="en-US" w:eastAsia="zh-CN"/>
        </w:rPr>
        <w:t>到2025年</w:t>
      </w:r>
      <w:r>
        <w:rPr>
          <w:rFonts w:hint="eastAsia" w:ascii="仿宋" w:hAnsi="仿宋" w:eastAsia="仿宋" w:cs="宋体"/>
          <w:color w:val="auto"/>
          <w:sz w:val="32"/>
          <w:szCs w:val="32"/>
          <w:highlight w:val="none"/>
          <w:lang w:val="en-US" w:eastAsia="zh-CN" w:bidi="ar-SA"/>
        </w:rPr>
        <w:t>末</w:t>
      </w:r>
      <w:r>
        <w:rPr>
          <w:rFonts w:hint="eastAsia"/>
          <w:color w:val="auto"/>
          <w:highlight w:val="none"/>
          <w:lang w:val="en-US" w:eastAsia="zh-CN"/>
        </w:rPr>
        <w:t>，</w:t>
      </w:r>
      <w:r>
        <w:rPr>
          <w:rFonts w:hint="eastAsia"/>
          <w:color w:val="auto"/>
          <w:highlight w:val="none"/>
        </w:rPr>
        <w:t>公共交通行车责任事故死亡率每百万车公里不高于0.</w:t>
      </w:r>
      <w:r>
        <w:rPr>
          <w:rFonts w:hint="eastAsia"/>
          <w:color w:val="auto"/>
          <w:highlight w:val="none"/>
          <w:lang w:val="en-US" w:eastAsia="zh-CN"/>
        </w:rPr>
        <w:t>0</w:t>
      </w:r>
      <w:r>
        <w:rPr>
          <w:rFonts w:hint="eastAsia"/>
          <w:color w:val="auto"/>
          <w:highlight w:val="none"/>
        </w:rPr>
        <w:t>5次/百万公里；公共汽电车企业每月道路交通运输违法(章)率每辆车不高于0.01次。</w:t>
      </w:r>
    </w:p>
    <w:p>
      <w:pPr>
        <w:keepNext w:val="0"/>
        <w:keepLines w:val="0"/>
        <w:pageBreakBefore w:val="0"/>
        <w:widowControl w:val="0"/>
        <w:kinsoku w:val="0"/>
        <w:wordWrap/>
        <w:overflowPunct/>
        <w:topLinePunct w:val="0"/>
        <w:autoSpaceDE w:val="0"/>
        <w:autoSpaceDN w:val="0"/>
        <w:bidi w:val="0"/>
        <w:adjustRightInd w:val="0"/>
        <w:snapToGrid w:val="0"/>
        <w:spacing w:beforeAutospacing="0" w:afterAutospacing="0" w:line="560" w:lineRule="exact"/>
        <w:jc w:val="both"/>
        <w:textAlignment w:val="baseline"/>
        <w:rPr>
          <w:color w:val="auto"/>
          <w:highlight w:val="none"/>
        </w:rPr>
      </w:pPr>
      <w:r>
        <w:rPr>
          <w:rFonts w:hint="eastAsia"/>
          <w:color w:val="auto"/>
          <w:highlight w:val="none"/>
          <w:lang w:val="en-US" w:eastAsia="zh-CN"/>
        </w:rPr>
        <w:t>4</w:t>
      </w:r>
      <w:r>
        <w:rPr>
          <w:rFonts w:hint="eastAsia"/>
          <w:color w:val="auto"/>
          <w:highlight w:val="none"/>
        </w:rPr>
        <w:t>.行业发展更可持续。</w:t>
      </w:r>
      <w:r>
        <w:rPr>
          <w:rFonts w:hint="eastAsia"/>
          <w:color w:val="auto"/>
          <w:highlight w:val="none"/>
          <w:lang w:val="en-US" w:eastAsia="zh-CN"/>
        </w:rPr>
        <w:t>到2025年</w:t>
      </w:r>
      <w:r>
        <w:rPr>
          <w:rFonts w:hint="eastAsia" w:ascii="仿宋" w:hAnsi="仿宋" w:eastAsia="仿宋" w:cs="宋体"/>
          <w:color w:val="auto"/>
          <w:sz w:val="32"/>
          <w:szCs w:val="32"/>
          <w:highlight w:val="none"/>
          <w:lang w:val="en-US" w:eastAsia="zh-CN" w:bidi="ar-SA"/>
        </w:rPr>
        <w:t>末</w:t>
      </w:r>
      <w:r>
        <w:rPr>
          <w:rFonts w:hint="eastAsia"/>
          <w:color w:val="auto"/>
          <w:highlight w:val="none"/>
          <w:lang w:val="en-US" w:eastAsia="zh-CN"/>
        </w:rPr>
        <w:t>，</w:t>
      </w:r>
      <w:r>
        <w:rPr>
          <w:rFonts w:hint="eastAsia"/>
          <w:color w:val="auto"/>
          <w:highlight w:val="none"/>
        </w:rPr>
        <w:t>公交企业成本规制全面落实，公共交通运营补贴补偿到位率达到100%，公共交通企业可持续发展能力、现代化治理能力全面提升。</w:t>
      </w:r>
    </w:p>
    <w:p>
      <w:pPr>
        <w:keepNext w:val="0"/>
        <w:keepLines w:val="0"/>
        <w:pageBreakBefore w:val="0"/>
        <w:widowControl w:val="0"/>
        <w:kinsoku w:val="0"/>
        <w:wordWrap/>
        <w:overflowPunct/>
        <w:topLinePunct w:val="0"/>
        <w:autoSpaceDE w:val="0"/>
        <w:autoSpaceDN w:val="0"/>
        <w:bidi w:val="0"/>
        <w:adjustRightInd w:val="0"/>
        <w:snapToGrid w:val="0"/>
        <w:spacing w:beforeAutospacing="0" w:afterAutospacing="0" w:line="560" w:lineRule="exact"/>
        <w:ind w:firstLine="640" w:firstLineChars="200"/>
        <w:jc w:val="both"/>
        <w:textAlignment w:val="baseline"/>
        <w:rPr>
          <w:color w:val="auto"/>
          <w:highlight w:val="none"/>
        </w:rPr>
      </w:pPr>
      <w:r>
        <w:rPr>
          <w:rFonts w:hint="eastAsia"/>
          <w:color w:val="auto"/>
          <w:highlight w:val="none"/>
          <w:lang w:val="en-US" w:eastAsia="zh-CN"/>
        </w:rPr>
        <w:t>5.</w:t>
      </w:r>
      <w:r>
        <w:rPr>
          <w:rFonts w:hint="eastAsia"/>
          <w:color w:val="auto"/>
          <w:highlight w:val="none"/>
        </w:rPr>
        <w:t>服务保障更加优质。</w:t>
      </w:r>
      <w:r>
        <w:rPr>
          <w:rFonts w:hint="eastAsia"/>
          <w:color w:val="auto"/>
          <w:highlight w:val="none"/>
          <w:lang w:val="en-US" w:eastAsia="zh-CN"/>
        </w:rPr>
        <w:t>到2025年</w:t>
      </w:r>
      <w:r>
        <w:rPr>
          <w:rFonts w:hint="eastAsia" w:ascii="仿宋" w:hAnsi="仿宋" w:eastAsia="仿宋" w:cs="宋体"/>
          <w:color w:val="auto"/>
          <w:sz w:val="32"/>
          <w:szCs w:val="32"/>
          <w:highlight w:val="none"/>
          <w:lang w:val="en-US" w:eastAsia="zh-CN" w:bidi="ar-SA"/>
        </w:rPr>
        <w:t>末</w:t>
      </w:r>
      <w:r>
        <w:rPr>
          <w:rFonts w:hint="eastAsia"/>
          <w:color w:val="auto"/>
          <w:highlight w:val="none"/>
          <w:lang w:val="en-US" w:eastAsia="zh-CN"/>
        </w:rPr>
        <w:t>，</w:t>
      </w:r>
      <w:r>
        <w:rPr>
          <w:rFonts w:hint="eastAsia"/>
          <w:color w:val="auto"/>
          <w:highlight w:val="none"/>
        </w:rPr>
        <w:t>具备条件的乡镇和建制村公交化运营比例达到100%</w:t>
      </w:r>
      <w:r>
        <w:rPr>
          <w:rFonts w:hint="eastAsia"/>
          <w:color w:val="auto"/>
          <w:highlight w:val="none"/>
          <w:lang w:eastAsia="zh-CN"/>
        </w:rPr>
        <w:t>，</w:t>
      </w:r>
      <w:r>
        <w:rPr>
          <w:rFonts w:hint="eastAsia"/>
          <w:color w:val="auto"/>
          <w:highlight w:val="none"/>
        </w:rPr>
        <w:t>早晚高峰时段主城区城市公交车发车间隔不超过10分钟，发车正点率不低于90%；城市公共交通投诉率每百万人次不高于10次，乘客满意度不低于90%。</w:t>
      </w:r>
    </w:p>
    <w:p>
      <w:pPr>
        <w:keepNext w:val="0"/>
        <w:keepLines w:val="0"/>
        <w:pageBreakBefore w:val="0"/>
        <w:widowControl w:val="0"/>
        <w:kinsoku w:val="0"/>
        <w:wordWrap/>
        <w:overflowPunct/>
        <w:topLinePunct w:val="0"/>
        <w:autoSpaceDE w:val="0"/>
        <w:autoSpaceDN w:val="0"/>
        <w:bidi w:val="0"/>
        <w:adjustRightInd w:val="0"/>
        <w:snapToGrid w:val="0"/>
        <w:spacing w:beforeAutospacing="0" w:afterAutospacing="0" w:line="560" w:lineRule="exact"/>
        <w:jc w:val="both"/>
        <w:textAlignment w:val="baseline"/>
        <w:rPr>
          <w:rFonts w:hint="eastAsia"/>
          <w:color w:val="auto"/>
          <w:highlight w:val="none"/>
        </w:rPr>
      </w:pPr>
      <w:r>
        <w:rPr>
          <w:rFonts w:hint="eastAsia"/>
          <w:color w:val="auto"/>
          <w:highlight w:val="none"/>
          <w:lang w:val="en-US" w:eastAsia="zh-CN"/>
        </w:rPr>
        <w:t>6.公交出行更智慧</w:t>
      </w:r>
      <w:r>
        <w:rPr>
          <w:rFonts w:hint="eastAsia" w:ascii="仿宋" w:hAnsi="仿宋" w:eastAsia="仿宋" w:cs="仿宋"/>
          <w:b/>
          <w:bCs/>
          <w:color w:val="auto"/>
          <w:sz w:val="28"/>
          <w:szCs w:val="28"/>
          <w:highlight w:val="none"/>
        </w:rPr>
        <w:t>。</w:t>
      </w:r>
      <w:r>
        <w:rPr>
          <w:rFonts w:hint="eastAsia"/>
          <w:color w:val="auto"/>
          <w:highlight w:val="none"/>
        </w:rPr>
        <w:t>到20</w:t>
      </w:r>
      <w:r>
        <w:rPr>
          <w:rFonts w:hint="eastAsia"/>
          <w:color w:val="auto"/>
          <w:highlight w:val="none"/>
          <w:lang w:val="en-US" w:eastAsia="zh-CN"/>
        </w:rPr>
        <w:t>35</w:t>
      </w:r>
      <w:r>
        <w:rPr>
          <w:rFonts w:hint="eastAsia"/>
          <w:color w:val="auto"/>
          <w:highlight w:val="none"/>
        </w:rPr>
        <w:t>年末，建成</w:t>
      </w:r>
      <w:r>
        <w:rPr>
          <w:rFonts w:hint="eastAsia"/>
          <w:color w:val="auto"/>
          <w:highlight w:val="none"/>
          <w:lang w:val="en-US" w:eastAsia="zh-CN"/>
        </w:rPr>
        <w:t>综合</w:t>
      </w:r>
      <w:r>
        <w:rPr>
          <w:rFonts w:hint="eastAsia"/>
          <w:color w:val="auto"/>
          <w:highlight w:val="none"/>
        </w:rPr>
        <w:t>交通运输信息</w:t>
      </w:r>
      <w:r>
        <w:rPr>
          <w:rFonts w:hint="eastAsia"/>
          <w:color w:val="auto"/>
          <w:highlight w:val="none"/>
          <w:lang w:val="en-US" w:eastAsia="zh-CN"/>
        </w:rPr>
        <w:t>服务</w:t>
      </w:r>
      <w:r>
        <w:rPr>
          <w:rFonts w:hint="eastAsia"/>
          <w:color w:val="auto"/>
          <w:highlight w:val="none"/>
        </w:rPr>
        <w:t>平台，实现站点班次“一键可查”、车辆位置“一键可知”、预约服务“一键可约”，推动实现农村客运</w:t>
      </w:r>
      <w:r>
        <w:rPr>
          <w:rFonts w:hint="eastAsia"/>
          <w:color w:val="auto"/>
          <w:highlight w:val="none"/>
          <w:lang w:val="en-US" w:eastAsia="zh-CN"/>
        </w:rPr>
        <w:t>与</w:t>
      </w:r>
      <w:r>
        <w:rPr>
          <w:rFonts w:hint="eastAsia"/>
          <w:color w:val="auto"/>
          <w:highlight w:val="none"/>
        </w:rPr>
        <w:t>物流配送、旅游服务等信息融合共享。</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firstLine="430"/>
        <w:jc w:val="both"/>
        <w:textAlignment w:val="auto"/>
        <w:rPr>
          <w:color w:val="auto"/>
          <w:highlight w:val="none"/>
        </w:rPr>
      </w:pPr>
      <w:r>
        <w:rPr>
          <w:rFonts w:hint="eastAsia" w:cs="宋体"/>
          <w:color w:val="auto"/>
          <w:sz w:val="32"/>
          <w:szCs w:val="32"/>
          <w:highlight w:val="none"/>
          <w:lang w:val="en-US" w:eastAsia="zh-CN" w:bidi="ar-SA"/>
        </w:rPr>
        <w:t>7.</w:t>
      </w:r>
      <w:r>
        <w:rPr>
          <w:rFonts w:hint="eastAsia" w:ascii="仿宋" w:hAnsi="仿宋" w:eastAsia="仿宋" w:cs="宋体"/>
          <w:color w:val="auto"/>
          <w:sz w:val="32"/>
          <w:szCs w:val="32"/>
          <w:highlight w:val="none"/>
          <w:lang w:val="en-US" w:eastAsia="zh-CN" w:bidi="ar-SA"/>
        </w:rPr>
        <w:t>推进客运站转型升级</w:t>
      </w:r>
      <w:r>
        <w:rPr>
          <w:rFonts w:hint="eastAsia" w:cs="宋体"/>
          <w:color w:val="auto"/>
          <w:sz w:val="32"/>
          <w:szCs w:val="32"/>
          <w:highlight w:val="none"/>
          <w:lang w:val="en-US" w:eastAsia="zh-CN" w:bidi="ar-SA"/>
        </w:rPr>
        <w:t>。</w:t>
      </w:r>
      <w:r>
        <w:rPr>
          <w:rFonts w:hint="eastAsia" w:ascii="仿宋" w:hAnsi="仿宋" w:eastAsia="仿宋" w:cs="宋体"/>
          <w:color w:val="auto"/>
          <w:sz w:val="32"/>
          <w:szCs w:val="32"/>
          <w:highlight w:val="none"/>
          <w:lang w:val="en-US" w:eastAsia="zh-CN" w:bidi="ar-SA"/>
        </w:rPr>
        <w:t>到</w:t>
      </w:r>
      <w:r>
        <w:rPr>
          <w:rFonts w:hint="eastAsia" w:cs="宋体"/>
          <w:color w:val="auto"/>
          <w:sz w:val="32"/>
          <w:szCs w:val="32"/>
          <w:highlight w:val="none"/>
          <w:lang w:val="en-US" w:eastAsia="zh-CN" w:bidi="ar-SA"/>
        </w:rPr>
        <w:t>2025</w:t>
      </w:r>
      <w:r>
        <w:rPr>
          <w:rFonts w:hint="eastAsia" w:ascii="仿宋" w:hAnsi="仿宋" w:eastAsia="仿宋" w:cs="宋体"/>
          <w:color w:val="auto"/>
          <w:sz w:val="32"/>
          <w:szCs w:val="32"/>
          <w:highlight w:val="none"/>
          <w:lang w:val="en-US" w:eastAsia="zh-CN" w:bidi="ar-SA"/>
        </w:rPr>
        <w:t>年末</w:t>
      </w:r>
      <w:r>
        <w:rPr>
          <w:rFonts w:hint="eastAsia" w:cs="宋体"/>
          <w:color w:val="auto"/>
          <w:sz w:val="32"/>
          <w:szCs w:val="32"/>
          <w:highlight w:val="none"/>
          <w:lang w:val="en-US" w:eastAsia="zh-CN" w:bidi="ar-SA"/>
        </w:rPr>
        <w:t>，</w:t>
      </w:r>
      <w:r>
        <w:rPr>
          <w:rFonts w:hint="eastAsia" w:ascii="仿宋" w:hAnsi="仿宋" w:eastAsia="仿宋" w:cs="宋体"/>
          <w:color w:val="auto"/>
          <w:sz w:val="32"/>
          <w:szCs w:val="32"/>
          <w:highlight w:val="none"/>
          <w:lang w:val="en-US" w:eastAsia="zh-CN" w:bidi="ar-SA"/>
        </w:rPr>
        <w:t>二级以上客运站均具备城市旅游集散、商业综合体等功能，拓展快递物流服务功能，推动客货邮融合发展。到2035年末，三级以上客运站全部具有旅游、商贸等综合服务功能，实现“一站多能”。</w:t>
      </w:r>
    </w:p>
    <w:p>
      <w:pPr>
        <w:keepNext w:val="0"/>
        <w:keepLines w:val="0"/>
        <w:pageBreakBefore w:val="0"/>
        <w:widowControl w:val="0"/>
        <w:kinsoku w:val="0"/>
        <w:wordWrap/>
        <w:overflowPunct/>
        <w:topLinePunct w:val="0"/>
        <w:autoSpaceDE w:val="0"/>
        <w:autoSpaceDN w:val="0"/>
        <w:bidi w:val="0"/>
        <w:adjustRightInd w:val="0"/>
        <w:snapToGrid w:val="0"/>
        <w:spacing w:beforeAutospacing="0" w:afterAutospacing="0" w:line="560" w:lineRule="exact"/>
        <w:textAlignment w:val="baseline"/>
        <w:rPr>
          <w:rFonts w:hint="eastAsia" w:ascii="黑体" w:hAnsi="黑体" w:eastAsia="黑体" w:cs="黑体"/>
        </w:rPr>
      </w:pPr>
      <w:r>
        <w:rPr>
          <w:rFonts w:hint="eastAsia" w:ascii="黑体" w:hAnsi="黑体" w:eastAsia="黑体" w:cs="黑体"/>
        </w:rPr>
        <w:t>二、主要措施</w:t>
      </w:r>
    </w:p>
    <w:p>
      <w:pPr>
        <w:pStyle w:val="9"/>
        <w:keepNext w:val="0"/>
        <w:keepLines w:val="0"/>
        <w:pageBreakBefore w:val="0"/>
        <w:widowControl w:val="0"/>
        <w:kinsoku w:val="0"/>
        <w:wordWrap/>
        <w:overflowPunct/>
        <w:topLinePunct w:val="0"/>
        <w:autoSpaceDE w:val="0"/>
        <w:autoSpaceDN w:val="0"/>
        <w:bidi w:val="0"/>
        <w:adjustRightInd w:val="0"/>
        <w:snapToGrid w:val="0"/>
        <w:spacing w:beforeAutospacing="0" w:afterAutospacing="0" w:line="560" w:lineRule="exact"/>
        <w:textAlignment w:val="baseline"/>
        <w:rPr>
          <w:rFonts w:hint="eastAsia" w:ascii="楷体" w:hAnsi="楷体" w:eastAsia="楷体" w:cs="楷体"/>
          <w:b/>
          <w:bCs/>
          <w:sz w:val="32"/>
          <w:lang w:eastAsia="zh-CN"/>
        </w:rPr>
      </w:pPr>
      <w:r>
        <w:rPr>
          <w:rFonts w:hint="eastAsia" w:ascii="楷体" w:hAnsi="楷体" w:eastAsia="楷体" w:cs="楷体"/>
          <w:b/>
          <w:bCs/>
          <w:sz w:val="32"/>
        </w:rPr>
        <w:t>（一）落实规划优先、建设优先政策</w:t>
      </w:r>
      <w:r>
        <w:rPr>
          <w:rFonts w:hint="eastAsia" w:ascii="楷体" w:hAnsi="楷体" w:eastAsia="楷体" w:cs="楷体"/>
          <w:b/>
          <w:bCs/>
          <w:sz w:val="32"/>
          <w:lang w:eastAsia="zh-CN"/>
        </w:rPr>
        <w:t>。</w:t>
      </w:r>
    </w:p>
    <w:p>
      <w:pPr>
        <w:keepNext w:val="0"/>
        <w:keepLines w:val="0"/>
        <w:pageBreakBefore w:val="0"/>
        <w:widowControl w:val="0"/>
        <w:kinsoku w:val="0"/>
        <w:wordWrap/>
        <w:overflowPunct/>
        <w:topLinePunct w:val="0"/>
        <w:autoSpaceDE w:val="0"/>
        <w:autoSpaceDN w:val="0"/>
        <w:bidi w:val="0"/>
        <w:adjustRightInd w:val="0"/>
        <w:snapToGrid w:val="0"/>
        <w:spacing w:beforeAutospacing="0" w:afterAutospacing="0" w:line="560" w:lineRule="exact"/>
        <w:jc w:val="both"/>
        <w:textAlignment w:val="baseline"/>
      </w:pPr>
      <w:r>
        <w:rPr>
          <w:rFonts w:hint="eastAsia"/>
        </w:rPr>
        <w:t>1.规范规划编制。结合我县发展布局调整，人口分布变化和</w:t>
      </w:r>
      <w:r>
        <w:rPr>
          <w:rFonts w:hint="eastAsia"/>
          <w:color w:val="auto"/>
        </w:rPr>
        <w:t>“三区三地”</w:t>
      </w:r>
      <w:r>
        <w:rPr>
          <w:rFonts w:hint="eastAsia"/>
          <w:color w:val="auto"/>
          <w:lang w:val="en-US" w:eastAsia="zh-CN"/>
        </w:rPr>
        <w:t>战略</w:t>
      </w:r>
      <w:r>
        <w:rPr>
          <w:rFonts w:hint="eastAsia"/>
        </w:rPr>
        <w:t>目标、国土空间总体规划等情况，按照科学合理、优先发展、适度超前的原则编</w:t>
      </w:r>
      <w:r>
        <w:rPr>
          <w:rFonts w:hint="eastAsia"/>
          <w:color w:val="auto"/>
        </w:rPr>
        <w:t>制</w:t>
      </w:r>
      <w:r>
        <w:rPr>
          <w:rFonts w:hint="default"/>
          <w:color w:val="auto"/>
          <w:lang w:val="en-US"/>
        </w:rPr>
        <w:t>公共交通</w:t>
      </w:r>
      <w:r>
        <w:rPr>
          <w:rFonts w:hint="eastAsia"/>
          <w:color w:val="auto"/>
          <w:lang w:val="en-US" w:eastAsia="zh-CN"/>
        </w:rPr>
        <w:t>专项</w:t>
      </w:r>
      <w:r>
        <w:rPr>
          <w:rFonts w:hint="eastAsia"/>
          <w:color w:val="auto"/>
        </w:rPr>
        <w:t>规划，纳</w:t>
      </w:r>
      <w:r>
        <w:rPr>
          <w:rFonts w:hint="eastAsia"/>
        </w:rPr>
        <w:t>入国土空间规划体系。</w:t>
      </w:r>
    </w:p>
    <w:p>
      <w:pPr>
        <w:keepNext w:val="0"/>
        <w:keepLines w:val="0"/>
        <w:pageBreakBefore w:val="0"/>
        <w:widowControl w:val="0"/>
        <w:kinsoku w:val="0"/>
        <w:wordWrap/>
        <w:overflowPunct/>
        <w:topLinePunct w:val="0"/>
        <w:autoSpaceDE w:val="0"/>
        <w:autoSpaceDN w:val="0"/>
        <w:bidi w:val="0"/>
        <w:adjustRightInd w:val="0"/>
        <w:snapToGrid w:val="0"/>
        <w:spacing w:beforeAutospacing="0" w:afterAutospacing="0" w:line="560" w:lineRule="exact"/>
        <w:jc w:val="both"/>
        <w:textAlignment w:val="baseline"/>
      </w:pPr>
      <w:r>
        <w:rPr>
          <w:rFonts w:hint="eastAsia"/>
        </w:rPr>
        <w:t>2.严格落实规划。建立</w:t>
      </w:r>
      <w:r>
        <w:rPr>
          <w:rFonts w:hint="eastAsia"/>
          <w:color w:val="auto"/>
        </w:rPr>
        <w:t>健全公共交通规划监督管</w:t>
      </w:r>
      <w:r>
        <w:rPr>
          <w:rFonts w:hint="eastAsia"/>
        </w:rPr>
        <w:t>理机制，每年对规划实施情况进行全面检查，对违反规划规定、侵占公共交通建设用地的行为依法进行处罚并予以纠正，确保公共交通发展规划得到有效落实。</w:t>
      </w:r>
    </w:p>
    <w:p>
      <w:pPr>
        <w:pStyle w:val="9"/>
        <w:keepNext w:val="0"/>
        <w:keepLines w:val="0"/>
        <w:pageBreakBefore w:val="0"/>
        <w:widowControl w:val="0"/>
        <w:kinsoku w:val="0"/>
        <w:wordWrap/>
        <w:overflowPunct/>
        <w:topLinePunct w:val="0"/>
        <w:autoSpaceDE w:val="0"/>
        <w:autoSpaceDN w:val="0"/>
        <w:bidi w:val="0"/>
        <w:adjustRightInd w:val="0"/>
        <w:snapToGrid w:val="0"/>
        <w:spacing w:beforeAutospacing="0" w:afterAutospacing="0" w:line="560" w:lineRule="exact"/>
        <w:textAlignment w:val="baseline"/>
        <w:rPr>
          <w:rFonts w:hint="eastAsia" w:ascii="楷体" w:hAnsi="楷体" w:eastAsia="楷体" w:cs="楷体"/>
          <w:b/>
          <w:bCs/>
          <w:sz w:val="32"/>
          <w:lang w:eastAsia="zh-CN"/>
        </w:rPr>
      </w:pPr>
      <w:r>
        <w:rPr>
          <w:rFonts w:hint="eastAsia" w:ascii="楷体" w:hAnsi="楷体" w:eastAsia="楷体" w:cs="楷体"/>
          <w:b/>
          <w:bCs/>
          <w:sz w:val="32"/>
        </w:rPr>
        <w:t>（二）完善公共交通基础设施</w:t>
      </w:r>
      <w:r>
        <w:rPr>
          <w:rFonts w:hint="eastAsia" w:ascii="楷体" w:hAnsi="楷体" w:eastAsia="楷体" w:cs="楷体"/>
          <w:b/>
          <w:bCs/>
          <w:sz w:val="32"/>
          <w:lang w:eastAsia="zh-CN"/>
        </w:rPr>
        <w:t>。</w:t>
      </w:r>
    </w:p>
    <w:p>
      <w:pPr>
        <w:pStyle w:val="9"/>
        <w:keepNext w:val="0"/>
        <w:keepLines w:val="0"/>
        <w:pageBreakBefore w:val="0"/>
        <w:widowControl w:val="0"/>
        <w:kinsoku w:val="0"/>
        <w:wordWrap/>
        <w:overflowPunct/>
        <w:topLinePunct w:val="0"/>
        <w:autoSpaceDE w:val="0"/>
        <w:autoSpaceDN w:val="0"/>
        <w:bidi w:val="0"/>
        <w:adjustRightInd w:val="0"/>
        <w:snapToGrid w:val="0"/>
        <w:spacing w:beforeAutospacing="0" w:afterAutospacing="0" w:line="560" w:lineRule="exact"/>
        <w:jc w:val="both"/>
        <w:textAlignment w:val="baseline"/>
        <w:rPr>
          <w:rFonts w:cs="宋体"/>
          <w:sz w:val="32"/>
        </w:rPr>
      </w:pPr>
      <w:r>
        <w:rPr>
          <w:rFonts w:hint="eastAsia" w:cs="宋体"/>
          <w:sz w:val="32"/>
        </w:rPr>
        <w:t>1.加强公共交通设施用地保障。合理确定公交基础设施的用地规模和布局，将首末站、停车场、换乘枢纽、停靠站等公交基础设施建设作为重要内容，优先保障公共交通发展用地，优先纳入年度城建计划，并优化项目审批流程，充分体现以公共交通为导向的城市发展和土地配置新模式，有效发挥公共交通规划的先导作用。</w:t>
      </w:r>
    </w:p>
    <w:p>
      <w:pPr>
        <w:pStyle w:val="9"/>
        <w:keepNext w:val="0"/>
        <w:keepLines w:val="0"/>
        <w:pageBreakBefore w:val="0"/>
        <w:widowControl w:val="0"/>
        <w:suppressLineNumbers w:val="0"/>
        <w:kinsoku w:val="0"/>
        <w:wordWrap/>
        <w:overflowPunct/>
        <w:topLinePunct w:val="0"/>
        <w:autoSpaceDE w:val="0"/>
        <w:autoSpaceDN w:val="0"/>
        <w:bidi w:val="0"/>
        <w:adjustRightInd w:val="0"/>
        <w:snapToGrid w:val="0"/>
        <w:spacing w:beforeAutospacing="0" w:afterAutospacing="0"/>
        <w:ind w:left="0" w:firstLine="420"/>
        <w:jc w:val="both"/>
        <w:textAlignment w:val="baseline"/>
        <w:rPr>
          <w:rFonts w:hint="eastAsia" w:cs="宋体"/>
          <w:color w:val="auto"/>
          <w:sz w:val="32"/>
        </w:rPr>
      </w:pPr>
      <w:r>
        <w:rPr>
          <w:rFonts w:hint="eastAsia" w:cs="宋体"/>
          <w:sz w:val="32"/>
        </w:rPr>
        <w:t>2.</w:t>
      </w:r>
      <w:r>
        <w:rPr>
          <w:rFonts w:hint="eastAsia" w:cs="宋体"/>
          <w:color w:val="auto"/>
          <w:sz w:val="32"/>
        </w:rPr>
        <w:t>推</w:t>
      </w:r>
      <w:r>
        <w:rPr>
          <w:rFonts w:hint="eastAsia" w:cs="宋体"/>
          <w:color w:val="auto"/>
          <w:sz w:val="32"/>
          <w:lang w:val="en-US" w:eastAsia="zh-CN"/>
        </w:rPr>
        <w:t>动</w:t>
      </w:r>
      <w:r>
        <w:rPr>
          <w:rFonts w:hint="eastAsia" w:cs="宋体"/>
          <w:color w:val="auto"/>
          <w:sz w:val="32"/>
        </w:rPr>
        <w:t>公</w:t>
      </w:r>
      <w:r>
        <w:rPr>
          <w:rFonts w:hint="eastAsia" w:cs="宋体"/>
          <w:sz w:val="32"/>
        </w:rPr>
        <w:t>共交通设施用地综合开发。</w:t>
      </w:r>
      <w:r>
        <w:rPr>
          <w:rFonts w:hint="eastAsia" w:cs="宋体"/>
          <w:sz w:val="32"/>
          <w:lang w:val="en-US" w:eastAsia="zh-CN"/>
        </w:rPr>
        <w:t>利用公共交通用地进行地上地下空间综合开发的，应根据设施功能分层设定建设用地使用权。</w:t>
      </w:r>
      <w:r>
        <w:rPr>
          <w:rFonts w:hint="eastAsia" w:cs="宋体"/>
          <w:color w:val="auto"/>
          <w:sz w:val="32"/>
        </w:rPr>
        <w:t>允许新增城市公共汽电车枢纽场站配套一定比例的附属商业等面积</w:t>
      </w:r>
      <w:r>
        <w:rPr>
          <w:rFonts w:hint="eastAsia" w:cs="宋体"/>
          <w:color w:val="auto"/>
          <w:sz w:val="32"/>
          <w:lang w:eastAsia="zh-CN"/>
        </w:rPr>
        <w:t>；</w:t>
      </w:r>
      <w:r>
        <w:rPr>
          <w:rFonts w:hint="eastAsia" w:cs="宋体"/>
          <w:color w:val="auto"/>
          <w:sz w:val="32"/>
        </w:rPr>
        <w:t>支持现有的公共汽电车枢纽站、首末站</w:t>
      </w:r>
      <w:r>
        <w:rPr>
          <w:rFonts w:hint="eastAsia" w:cs="宋体"/>
          <w:color w:val="auto"/>
          <w:sz w:val="32"/>
          <w:lang w:val="en-US" w:eastAsia="zh-CN"/>
        </w:rPr>
        <w:t>和</w:t>
      </w:r>
      <w:r>
        <w:rPr>
          <w:rFonts w:hint="eastAsia" w:cs="宋体"/>
          <w:color w:val="auto"/>
          <w:sz w:val="32"/>
        </w:rPr>
        <w:t>停保场等，在不改变用地性质、优先保障场站交通服务基本功能的前提下，利用场站内部分闲置设施开展社会化商业服务。</w:t>
      </w:r>
    </w:p>
    <w:p>
      <w:pPr>
        <w:pStyle w:val="9"/>
        <w:keepNext w:val="0"/>
        <w:keepLines w:val="0"/>
        <w:pageBreakBefore w:val="0"/>
        <w:widowControl w:val="0"/>
        <w:suppressLineNumbers w:val="0"/>
        <w:kinsoku w:val="0"/>
        <w:wordWrap/>
        <w:overflowPunct/>
        <w:topLinePunct w:val="0"/>
        <w:autoSpaceDE w:val="0"/>
        <w:autoSpaceDN w:val="0"/>
        <w:bidi w:val="0"/>
        <w:adjustRightInd w:val="0"/>
        <w:snapToGrid w:val="0"/>
        <w:spacing w:beforeAutospacing="0" w:afterAutospacing="0"/>
        <w:ind w:left="0" w:firstLine="420"/>
        <w:jc w:val="both"/>
        <w:textAlignment w:val="baseline"/>
        <w:rPr>
          <w:rFonts w:hint="eastAsia" w:eastAsia="仿宋" w:cs="宋体"/>
          <w:color w:val="auto"/>
          <w:sz w:val="32"/>
          <w:szCs w:val="32"/>
          <w:lang w:eastAsia="zh-CN"/>
        </w:rPr>
      </w:pPr>
      <w:r>
        <w:rPr>
          <w:rFonts w:hint="eastAsia" w:cs="宋体"/>
          <w:sz w:val="32"/>
        </w:rPr>
        <w:t>3.持续推进新能源公交车应用与配套设施建设。除保留必要应急救援车辆外，新增和更新城市公共汽电车全部为新能源车辆。优先布局和建设公共交通充（换）电站、充电桩等设施，</w:t>
      </w:r>
      <w:r>
        <w:rPr>
          <w:rFonts w:hint="eastAsia" w:cs="宋体"/>
          <w:color w:val="auto"/>
          <w:sz w:val="32"/>
          <w:szCs w:val="32"/>
        </w:rPr>
        <w:t>支持</w:t>
      </w:r>
      <w:r>
        <w:rPr>
          <w:color w:val="auto"/>
          <w:sz w:val="32"/>
          <w:szCs w:val="32"/>
        </w:rPr>
        <w:t>在城市公共汽电车企业自有、租赁场站建设完善新能源城市公交车辆充电设施，保障用电接入条件，有效满足车辆充电需求。灵活设置微循环公交、定制公交等停靠站点，提高港湾式公交站点设置比例</w:t>
      </w:r>
      <w:r>
        <w:rPr>
          <w:rFonts w:hint="eastAsia" w:cs="宋体"/>
          <w:color w:val="auto"/>
          <w:sz w:val="32"/>
          <w:szCs w:val="32"/>
        </w:rPr>
        <w:t>。</w:t>
      </w:r>
    </w:p>
    <w:p>
      <w:pPr>
        <w:pStyle w:val="9"/>
        <w:keepNext w:val="0"/>
        <w:keepLines w:val="0"/>
        <w:pageBreakBefore w:val="0"/>
        <w:widowControl w:val="0"/>
        <w:kinsoku w:val="0"/>
        <w:wordWrap/>
        <w:overflowPunct/>
        <w:topLinePunct w:val="0"/>
        <w:autoSpaceDE w:val="0"/>
        <w:autoSpaceDN w:val="0"/>
        <w:bidi w:val="0"/>
        <w:adjustRightInd w:val="0"/>
        <w:snapToGrid w:val="0"/>
        <w:spacing w:beforeAutospacing="0" w:afterAutospacing="0" w:line="560" w:lineRule="exact"/>
        <w:jc w:val="both"/>
        <w:textAlignment w:val="baseline"/>
        <w:rPr>
          <w:rFonts w:hint="eastAsia" w:ascii="楷体" w:hAnsi="楷体" w:eastAsia="楷体" w:cs="楷体"/>
          <w:b/>
          <w:bCs/>
          <w:sz w:val="32"/>
        </w:rPr>
      </w:pPr>
      <w:r>
        <w:rPr>
          <w:rFonts w:hint="eastAsia" w:ascii="楷体" w:hAnsi="楷体" w:eastAsia="楷体" w:cs="楷体"/>
          <w:b/>
          <w:bCs/>
          <w:sz w:val="32"/>
        </w:rPr>
        <w:t>（三）加大公共交通财政投入</w:t>
      </w:r>
    </w:p>
    <w:p>
      <w:pPr>
        <w:pStyle w:val="9"/>
        <w:keepNext w:val="0"/>
        <w:keepLines w:val="0"/>
        <w:pageBreakBefore w:val="0"/>
        <w:widowControl w:val="0"/>
        <w:kinsoku w:val="0"/>
        <w:wordWrap/>
        <w:overflowPunct/>
        <w:topLinePunct w:val="0"/>
        <w:autoSpaceDE w:val="0"/>
        <w:autoSpaceDN w:val="0"/>
        <w:bidi w:val="0"/>
        <w:adjustRightInd w:val="0"/>
        <w:snapToGrid w:val="0"/>
        <w:spacing w:beforeAutospacing="0" w:afterAutospacing="0" w:line="560" w:lineRule="exact"/>
        <w:jc w:val="both"/>
        <w:textAlignment w:val="baseline"/>
        <w:rPr>
          <w:rFonts w:cs="宋体"/>
          <w:sz w:val="32"/>
        </w:rPr>
      </w:pPr>
      <w:r>
        <w:rPr>
          <w:rFonts w:hint="eastAsia" w:cs="宋体"/>
          <w:sz w:val="32"/>
        </w:rPr>
        <w:t>1.健全公共交通财政补贴机制。</w:t>
      </w:r>
      <w:r>
        <w:rPr>
          <w:rFonts w:hint="eastAsia"/>
          <w:color w:val="auto"/>
          <w:sz w:val="32"/>
          <w:szCs w:val="32"/>
          <w:lang w:val="en-US" w:eastAsia="zh-CN"/>
        </w:rPr>
        <w:t>在确定服务标准并开展服务质</w:t>
      </w:r>
      <w:r>
        <w:rPr>
          <w:rFonts w:hint="eastAsia"/>
          <w:color w:val="auto"/>
          <w:sz w:val="32"/>
          <w:szCs w:val="32"/>
          <w:highlight w:val="none"/>
          <w:lang w:val="en-US" w:eastAsia="zh-CN"/>
        </w:rPr>
        <w:t>量考核的</w:t>
      </w:r>
      <w:r>
        <w:rPr>
          <w:rFonts w:hint="eastAsia"/>
          <w:color w:val="auto"/>
          <w:sz w:val="32"/>
          <w:szCs w:val="32"/>
          <w:lang w:val="en-US" w:eastAsia="zh-CN"/>
        </w:rPr>
        <w:t>基础上，建立并实施公共汽电车企业运营成本核算和补贴补偿制度，</w:t>
      </w:r>
      <w:r>
        <w:rPr>
          <w:rFonts w:hint="eastAsia" w:cs="宋体"/>
          <w:sz w:val="32"/>
        </w:rPr>
        <w:t>形成“规制—补贴—运营—考核”的完整制度和管理规范，提升管理决策的科学性和财政补贴</w:t>
      </w:r>
      <w:r>
        <w:rPr>
          <w:rFonts w:hint="eastAsia" w:cs="宋体"/>
          <w:sz w:val="32"/>
          <w:lang w:val="en-US" w:eastAsia="zh-CN"/>
        </w:rPr>
        <w:t>的</w:t>
      </w:r>
      <w:r>
        <w:rPr>
          <w:rFonts w:hint="eastAsia" w:cs="宋体"/>
          <w:sz w:val="32"/>
        </w:rPr>
        <w:t>合理性。</w:t>
      </w:r>
    </w:p>
    <w:p>
      <w:pPr>
        <w:pStyle w:val="9"/>
        <w:keepNext w:val="0"/>
        <w:keepLines w:val="0"/>
        <w:pageBreakBefore w:val="0"/>
        <w:widowControl w:val="0"/>
        <w:kinsoku w:val="0"/>
        <w:wordWrap/>
        <w:overflowPunct/>
        <w:topLinePunct w:val="0"/>
        <w:autoSpaceDE w:val="0"/>
        <w:autoSpaceDN w:val="0"/>
        <w:bidi w:val="0"/>
        <w:adjustRightInd w:val="0"/>
        <w:snapToGrid w:val="0"/>
        <w:spacing w:beforeAutospacing="0" w:afterAutospacing="0" w:line="560" w:lineRule="exact"/>
        <w:jc w:val="both"/>
        <w:textAlignment w:val="baseline"/>
        <w:rPr>
          <w:rFonts w:cs="宋体"/>
          <w:sz w:val="32"/>
        </w:rPr>
      </w:pPr>
      <w:r>
        <w:rPr>
          <w:rFonts w:hint="eastAsia" w:cs="宋体"/>
          <w:sz w:val="32"/>
        </w:rPr>
        <w:t>2.完善公共交通发展保障机制。政府财政投入的资金应重点用于公共交通规划确定的综合交通枢纽、公交场站、港湾式停车站等设施的建设，以及车辆的更新和设施维护。建立公共交通企业职工工资收入正常增长机制。</w:t>
      </w:r>
    </w:p>
    <w:p>
      <w:pPr>
        <w:pStyle w:val="9"/>
        <w:keepNext w:val="0"/>
        <w:keepLines w:val="0"/>
        <w:pageBreakBefore w:val="0"/>
        <w:widowControl w:val="0"/>
        <w:kinsoku w:val="0"/>
        <w:wordWrap/>
        <w:overflowPunct/>
        <w:topLinePunct w:val="0"/>
        <w:autoSpaceDE w:val="0"/>
        <w:autoSpaceDN w:val="0"/>
        <w:bidi w:val="0"/>
        <w:adjustRightInd w:val="0"/>
        <w:snapToGrid w:val="0"/>
        <w:spacing w:beforeAutospacing="0" w:afterAutospacing="0" w:line="560" w:lineRule="exact"/>
        <w:jc w:val="both"/>
        <w:textAlignment w:val="baseline"/>
        <w:rPr>
          <w:rFonts w:cs="宋体"/>
          <w:sz w:val="32"/>
        </w:rPr>
      </w:pPr>
      <w:r>
        <w:rPr>
          <w:rFonts w:hint="eastAsia" w:cs="宋体"/>
          <w:sz w:val="32"/>
        </w:rPr>
        <w:t>3.落实国家关于城市公共交通有关税费优惠政策。</w:t>
      </w:r>
      <w:r>
        <w:rPr>
          <w:rFonts w:hint="eastAsia" w:cs="宋体"/>
          <w:sz w:val="32"/>
          <w:lang w:val="en-US" w:eastAsia="zh-CN"/>
        </w:rPr>
        <w:t>按规定</w:t>
      </w:r>
      <w:r>
        <w:rPr>
          <w:rFonts w:hint="eastAsia" w:cs="宋体"/>
          <w:sz w:val="32"/>
        </w:rPr>
        <w:t>免征公交企业新购置公共汽(电)车的车辆购置税、城市公交站场经营用地城镇土地使用税等政策。</w:t>
      </w:r>
    </w:p>
    <w:p>
      <w:pPr>
        <w:pStyle w:val="9"/>
        <w:keepNext w:val="0"/>
        <w:keepLines w:val="0"/>
        <w:pageBreakBefore w:val="0"/>
        <w:widowControl w:val="0"/>
        <w:kinsoku w:val="0"/>
        <w:wordWrap/>
        <w:overflowPunct/>
        <w:topLinePunct w:val="0"/>
        <w:autoSpaceDE w:val="0"/>
        <w:autoSpaceDN w:val="0"/>
        <w:bidi w:val="0"/>
        <w:adjustRightInd w:val="0"/>
        <w:snapToGrid w:val="0"/>
        <w:spacing w:beforeAutospacing="0" w:afterAutospacing="0" w:line="560" w:lineRule="exact"/>
        <w:jc w:val="both"/>
        <w:textAlignment w:val="baseline"/>
        <w:rPr>
          <w:rFonts w:hint="eastAsia" w:ascii="楷体" w:hAnsi="楷体" w:eastAsia="楷体" w:cs="楷体"/>
          <w:b/>
          <w:bCs/>
          <w:sz w:val="32"/>
        </w:rPr>
      </w:pPr>
      <w:r>
        <w:rPr>
          <w:rFonts w:hint="eastAsia" w:ascii="楷体" w:hAnsi="楷体" w:eastAsia="楷体" w:cs="楷体"/>
          <w:b/>
          <w:bCs/>
          <w:sz w:val="32"/>
        </w:rPr>
        <w:t>（四）进一步完善公共交通票价体系</w:t>
      </w:r>
    </w:p>
    <w:p>
      <w:pPr>
        <w:pStyle w:val="9"/>
        <w:keepNext w:val="0"/>
        <w:keepLines w:val="0"/>
        <w:pageBreakBefore w:val="0"/>
        <w:widowControl w:val="0"/>
        <w:suppressLineNumbers w:val="0"/>
        <w:kinsoku w:val="0"/>
        <w:wordWrap/>
        <w:overflowPunct/>
        <w:topLinePunct w:val="0"/>
        <w:autoSpaceDE w:val="0"/>
        <w:autoSpaceDN w:val="0"/>
        <w:bidi w:val="0"/>
        <w:adjustRightInd w:val="0"/>
        <w:snapToGrid w:val="0"/>
        <w:spacing w:beforeAutospacing="0" w:afterAutospacing="0"/>
        <w:ind w:left="0" w:firstLine="420"/>
        <w:jc w:val="both"/>
        <w:textAlignment w:val="baseline"/>
        <w:rPr>
          <w:rFonts w:hint="eastAsia" w:cs="宋体"/>
          <w:color w:val="auto"/>
          <w:sz w:val="32"/>
          <w:lang w:val="en-US" w:eastAsia="zh-CN"/>
        </w:rPr>
      </w:pPr>
      <w:r>
        <w:rPr>
          <w:rFonts w:hint="eastAsia" w:cs="宋体"/>
          <w:sz w:val="32"/>
        </w:rPr>
        <w:t>1.</w:t>
      </w:r>
      <w:r>
        <w:rPr>
          <w:rFonts w:hint="eastAsia" w:cs="宋体"/>
          <w:color w:val="auto"/>
          <w:sz w:val="32"/>
        </w:rPr>
        <w:t>完善</w:t>
      </w:r>
      <w:r>
        <w:rPr>
          <w:rFonts w:hint="eastAsia" w:cs="宋体"/>
          <w:color w:val="auto"/>
          <w:sz w:val="32"/>
          <w:lang w:val="en-US" w:eastAsia="zh-CN"/>
        </w:rPr>
        <w:t>价格</w:t>
      </w:r>
      <w:r>
        <w:rPr>
          <w:rFonts w:hint="eastAsia" w:cs="宋体"/>
          <w:color w:val="auto"/>
          <w:sz w:val="32"/>
        </w:rPr>
        <w:t>机制。综合考虑</w:t>
      </w:r>
      <w:r>
        <w:rPr>
          <w:rFonts w:hint="eastAsia" w:cs="宋体"/>
          <w:color w:val="auto"/>
          <w:sz w:val="32"/>
          <w:lang w:val="en-US" w:eastAsia="zh-CN"/>
        </w:rPr>
        <w:t>公众</w:t>
      </w:r>
      <w:r>
        <w:rPr>
          <w:rFonts w:hint="eastAsia" w:cs="宋体"/>
          <w:color w:val="auto"/>
          <w:sz w:val="32"/>
        </w:rPr>
        <w:t>承受能力、</w:t>
      </w:r>
      <w:r>
        <w:rPr>
          <w:rFonts w:hint="eastAsia" w:cs="宋体"/>
          <w:color w:val="auto"/>
          <w:sz w:val="32"/>
          <w:lang w:val="en-US" w:eastAsia="zh-CN"/>
        </w:rPr>
        <w:t>公交</w:t>
      </w:r>
      <w:r>
        <w:rPr>
          <w:rFonts w:hint="eastAsia" w:cs="宋体"/>
          <w:color w:val="auto"/>
          <w:sz w:val="32"/>
        </w:rPr>
        <w:t>企业运营成本、</w:t>
      </w:r>
      <w:r>
        <w:rPr>
          <w:rFonts w:hint="eastAsia" w:cs="宋体"/>
          <w:color w:val="auto"/>
          <w:sz w:val="32"/>
          <w:lang w:val="en-US" w:eastAsia="zh-CN"/>
        </w:rPr>
        <w:t>财政补贴</w:t>
      </w:r>
      <w:r>
        <w:rPr>
          <w:rFonts w:hint="eastAsia" w:cs="宋体"/>
          <w:color w:val="auto"/>
          <w:sz w:val="32"/>
        </w:rPr>
        <w:t>等因素，制定公共交通价格并建立动态调整机制。对公共交通现有价格水平开展评估并及时优化调整。</w:t>
      </w:r>
      <w:r>
        <w:rPr>
          <w:rFonts w:hint="eastAsia" w:cs="宋体"/>
          <w:color w:val="auto"/>
          <w:sz w:val="32"/>
          <w:lang w:val="en-US" w:eastAsia="zh-CN"/>
        </w:rPr>
        <w:t>对定制公交等线路实行政府指导价或市场调节价。对远郊等长距离城市公共汽电车运营线路，可探索采用按里程计价方式。</w:t>
      </w:r>
    </w:p>
    <w:p>
      <w:pPr>
        <w:pStyle w:val="9"/>
        <w:keepNext w:val="0"/>
        <w:keepLines w:val="0"/>
        <w:pageBreakBefore w:val="0"/>
        <w:widowControl w:val="0"/>
        <w:suppressLineNumbers w:val="0"/>
        <w:kinsoku w:val="0"/>
        <w:wordWrap/>
        <w:overflowPunct/>
        <w:topLinePunct w:val="0"/>
        <w:autoSpaceDE w:val="0"/>
        <w:autoSpaceDN w:val="0"/>
        <w:bidi w:val="0"/>
        <w:adjustRightInd w:val="0"/>
        <w:snapToGrid w:val="0"/>
        <w:spacing w:beforeAutospacing="0" w:afterAutospacing="0"/>
        <w:ind w:left="0" w:firstLine="420"/>
        <w:textAlignment w:val="baseline"/>
        <w:rPr>
          <w:rFonts w:cs="宋体"/>
          <w:sz w:val="32"/>
        </w:rPr>
      </w:pPr>
      <w:r>
        <w:rPr>
          <w:rFonts w:hint="eastAsia" w:cs="宋体"/>
          <w:sz w:val="32"/>
        </w:rPr>
        <w:t>2.完善票价听证制度。公共交通价格动态调整机制实行听证制度，充分征求广大乘客和社会各界意见，严格按照有关程序进行。</w:t>
      </w:r>
    </w:p>
    <w:p>
      <w:pPr>
        <w:pStyle w:val="9"/>
        <w:keepNext w:val="0"/>
        <w:keepLines w:val="0"/>
        <w:pageBreakBefore w:val="0"/>
        <w:widowControl w:val="0"/>
        <w:kinsoku w:val="0"/>
        <w:wordWrap/>
        <w:overflowPunct/>
        <w:topLinePunct w:val="0"/>
        <w:autoSpaceDE w:val="0"/>
        <w:autoSpaceDN w:val="0"/>
        <w:bidi w:val="0"/>
        <w:adjustRightInd w:val="0"/>
        <w:snapToGrid w:val="0"/>
        <w:spacing w:beforeAutospacing="0" w:afterAutospacing="0" w:line="560" w:lineRule="exact"/>
        <w:jc w:val="both"/>
        <w:textAlignment w:val="baseline"/>
        <w:rPr>
          <w:rFonts w:hint="eastAsia" w:ascii="楷体" w:hAnsi="楷体" w:eastAsia="楷体" w:cs="楷体"/>
          <w:b/>
          <w:bCs/>
          <w:sz w:val="32"/>
        </w:rPr>
      </w:pPr>
      <w:r>
        <w:rPr>
          <w:rFonts w:hint="eastAsia" w:ascii="楷体" w:hAnsi="楷体" w:eastAsia="楷体" w:cs="楷体"/>
          <w:b/>
          <w:bCs/>
          <w:sz w:val="32"/>
        </w:rPr>
        <w:t>（</w:t>
      </w:r>
      <w:r>
        <w:rPr>
          <w:rFonts w:hint="eastAsia" w:ascii="楷体" w:hAnsi="楷体" w:eastAsia="楷体" w:cs="楷体"/>
          <w:b/>
          <w:bCs/>
          <w:sz w:val="32"/>
          <w:lang w:val="zh-CN" w:eastAsia="zh-CN"/>
        </w:rPr>
        <w:t>五）着力提升公共交通服务品质</w:t>
      </w:r>
    </w:p>
    <w:p>
      <w:pPr>
        <w:pStyle w:val="9"/>
        <w:keepNext w:val="0"/>
        <w:keepLines w:val="0"/>
        <w:pageBreakBefore w:val="0"/>
        <w:widowControl w:val="0"/>
        <w:suppressLineNumbers w:val="0"/>
        <w:kinsoku w:val="0"/>
        <w:wordWrap/>
        <w:overflowPunct/>
        <w:topLinePunct w:val="0"/>
        <w:autoSpaceDE w:val="0"/>
        <w:autoSpaceDN w:val="0"/>
        <w:bidi w:val="0"/>
        <w:adjustRightInd w:val="0"/>
        <w:snapToGrid w:val="0"/>
        <w:spacing w:beforeAutospacing="0" w:afterAutospacing="0"/>
        <w:ind w:left="0" w:firstLine="420"/>
        <w:jc w:val="both"/>
        <w:textAlignment w:val="baseline"/>
        <w:rPr>
          <w:rFonts w:hint="eastAsia" w:ascii="仿宋" w:hAnsi="仿宋" w:eastAsia="仿宋" w:cs="宋体"/>
          <w:color w:val="auto"/>
          <w:sz w:val="32"/>
          <w:szCs w:val="32"/>
          <w:lang w:val="en-US" w:eastAsia="zh-CN" w:bidi="ar-SA"/>
        </w:rPr>
      </w:pPr>
      <w:r>
        <w:rPr>
          <w:rFonts w:hint="eastAsia" w:ascii="仿宋" w:hAnsi="仿宋" w:eastAsia="仿宋" w:cs="宋体"/>
          <w:color w:val="000000"/>
          <w:sz w:val="32"/>
          <w:szCs w:val="32"/>
          <w:lang w:val="en-US" w:eastAsia="zh-CN" w:bidi="ar-SA"/>
        </w:rPr>
        <w:t>1.完善公共交通服务体系。推进公交行业服务标准化、规范化、精细化、人性化。优化公交线网布局和结构</w:t>
      </w:r>
      <w:r>
        <w:rPr>
          <w:rFonts w:hint="eastAsia" w:ascii="仿宋" w:hAnsi="仿宋" w:eastAsia="仿宋" w:cs="宋体"/>
          <w:color w:val="auto"/>
          <w:sz w:val="32"/>
          <w:szCs w:val="32"/>
          <w:lang w:val="en-US" w:eastAsia="zh-CN" w:bidi="ar-SA"/>
        </w:rPr>
        <w:t>，</w:t>
      </w:r>
      <w:r>
        <w:rPr>
          <w:rFonts w:hint="eastAsia" w:ascii="仿宋" w:hAnsi="仿宋" w:eastAsia="仿宋" w:cs="宋体"/>
          <w:color w:val="auto"/>
          <w:sz w:val="32"/>
          <w:szCs w:val="32"/>
        </w:rPr>
        <w:t>构建城市公交、城际公交、城乡公交、镇村公交分层搭网、高效衔接、全</w:t>
      </w:r>
      <w:r>
        <w:rPr>
          <w:rFonts w:hint="eastAsia" w:cs="宋体"/>
          <w:color w:val="auto"/>
          <w:sz w:val="32"/>
          <w:szCs w:val="32"/>
          <w:lang w:val="en-US" w:eastAsia="zh-CN"/>
        </w:rPr>
        <w:t>县</w:t>
      </w:r>
      <w:r>
        <w:rPr>
          <w:rFonts w:hint="eastAsia" w:ascii="仿宋" w:hAnsi="仿宋" w:eastAsia="仿宋" w:cs="宋体"/>
          <w:color w:val="auto"/>
          <w:sz w:val="32"/>
          <w:szCs w:val="32"/>
        </w:rPr>
        <w:t>一体的“全域公交”网络体系,</w:t>
      </w:r>
      <w:r>
        <w:rPr>
          <w:rFonts w:hint="eastAsia" w:ascii="仿宋" w:hAnsi="仿宋" w:eastAsia="仿宋" w:cs="宋体"/>
          <w:color w:val="auto"/>
          <w:sz w:val="32"/>
          <w:szCs w:val="32"/>
          <w:lang w:val="en-US" w:eastAsia="zh-CN" w:bidi="ar-SA"/>
        </w:rPr>
        <w:t>持续改善公交可达性和便捷性。鼓励技术创新、模式创新，积极发展定制公交、夜间公交、社区公交</w:t>
      </w:r>
      <w:r>
        <w:rPr>
          <w:rFonts w:hint="eastAsia" w:ascii="仿宋" w:hAnsi="仿宋" w:eastAsia="仿宋" w:cs="宋体"/>
          <w:color w:val="000000"/>
          <w:sz w:val="32"/>
          <w:szCs w:val="32"/>
          <w:lang w:val="en-US" w:eastAsia="zh-CN" w:bidi="ar-SA"/>
        </w:rPr>
        <w:t>、微循环公</w:t>
      </w:r>
      <w:r>
        <w:rPr>
          <w:rFonts w:hint="eastAsia" w:ascii="仿宋" w:hAnsi="仿宋" w:eastAsia="仿宋" w:cs="宋体"/>
          <w:color w:val="auto"/>
          <w:sz w:val="32"/>
          <w:szCs w:val="32"/>
          <w:lang w:val="en-US" w:eastAsia="zh-CN" w:bidi="ar-SA"/>
        </w:rPr>
        <w:t>交、通勤、通学、就医等多层次、多品种公交服务。积极发展“公交+旅游”服务模式，适度加密主要客运枢纽至城市景区景点的公交线路，支持公共交通枢纽场站拓展旅游服务功能。</w:t>
      </w:r>
    </w:p>
    <w:p>
      <w:pPr>
        <w:pStyle w:val="17"/>
        <w:keepNext w:val="0"/>
        <w:keepLines w:val="0"/>
        <w:pageBreakBefore w:val="0"/>
        <w:widowControl w:val="0"/>
        <w:kinsoku w:val="0"/>
        <w:wordWrap/>
        <w:overflowPunct/>
        <w:topLinePunct w:val="0"/>
        <w:autoSpaceDE w:val="0"/>
        <w:autoSpaceDN w:val="0"/>
        <w:bidi w:val="0"/>
        <w:adjustRightInd w:val="0"/>
        <w:snapToGrid w:val="0"/>
        <w:spacing w:beforeAutospacing="0" w:afterAutospacing="0" w:line="560" w:lineRule="exact"/>
        <w:jc w:val="both"/>
        <w:textAlignment w:val="baseline"/>
        <w:rPr>
          <w:rFonts w:hint="eastAsia" w:ascii="仿宋" w:hAnsi="仿宋" w:eastAsia="仿宋" w:cs="宋体"/>
          <w:color w:val="auto"/>
          <w:sz w:val="32"/>
          <w:szCs w:val="32"/>
          <w:lang w:val="en-US" w:eastAsia="zh-CN" w:bidi="ar-SA"/>
        </w:rPr>
      </w:pPr>
      <w:r>
        <w:rPr>
          <w:rFonts w:hint="eastAsia" w:ascii="仿宋" w:hAnsi="仿宋" w:eastAsia="仿宋" w:cs="宋体"/>
          <w:color w:val="000000"/>
          <w:sz w:val="32"/>
          <w:szCs w:val="32"/>
          <w:lang w:val="en-US" w:eastAsia="zh-CN" w:bidi="ar-SA"/>
        </w:rPr>
        <w:t>2.拓展公共交通服务深度和广度，提升服务效率和服务品质。推进无障碍设施在公共交通领域建设和应用，新建、改建、扩建道路和公共交通设施应当符合无障碍设施工程建设标准，优化城市公共交通领</w:t>
      </w:r>
      <w:r>
        <w:rPr>
          <w:rFonts w:hint="eastAsia" w:ascii="仿宋" w:hAnsi="仿宋" w:eastAsia="仿宋" w:cs="宋体"/>
          <w:color w:val="auto"/>
          <w:sz w:val="32"/>
          <w:szCs w:val="32"/>
          <w:lang w:val="en-US" w:eastAsia="zh-CN" w:bidi="ar-SA"/>
        </w:rPr>
        <w:t>域适老化、无障碍出行服务。</w:t>
      </w:r>
    </w:p>
    <w:p>
      <w:pPr>
        <w:pStyle w:val="17"/>
        <w:keepNext w:val="0"/>
        <w:keepLines w:val="0"/>
        <w:pageBreakBefore w:val="0"/>
        <w:widowControl w:val="0"/>
        <w:kinsoku w:val="0"/>
        <w:wordWrap/>
        <w:overflowPunct/>
        <w:topLinePunct w:val="0"/>
        <w:autoSpaceDE w:val="0"/>
        <w:autoSpaceDN w:val="0"/>
        <w:bidi w:val="0"/>
        <w:adjustRightInd w:val="0"/>
        <w:snapToGrid w:val="0"/>
        <w:spacing w:beforeAutospacing="0" w:afterAutospacing="0" w:line="560" w:lineRule="exact"/>
        <w:jc w:val="both"/>
        <w:textAlignment w:val="baseline"/>
        <w:rPr>
          <w:rFonts w:hint="eastAsia" w:ascii="仿宋" w:hAnsi="仿宋" w:eastAsia="仿宋" w:cs="宋体"/>
          <w:color w:val="000000"/>
          <w:sz w:val="32"/>
          <w:szCs w:val="32"/>
          <w:lang w:val="en-US" w:eastAsia="zh-CN" w:bidi="ar-SA"/>
        </w:rPr>
      </w:pPr>
      <w:r>
        <w:rPr>
          <w:rFonts w:hint="eastAsia" w:ascii="仿宋" w:hAnsi="仿宋" w:eastAsia="仿宋" w:cs="宋体"/>
          <w:color w:val="000000"/>
          <w:sz w:val="32"/>
          <w:szCs w:val="32"/>
          <w:lang w:val="en-US" w:eastAsia="zh-CN" w:bidi="ar-SA"/>
        </w:rPr>
        <w:t>3.推进公共交通系统智慧化建设。推进信息技术在公共交通运营管理、服务监管和行业管理等方面的应用，提高公共交通智能化水平。积极拓展支付结算模式，推动“一卡通”等互联互通实体卡与移动支付方式的深度融合，提升便捷支付与创新应用能力。</w:t>
      </w:r>
    </w:p>
    <w:p>
      <w:pPr>
        <w:pStyle w:val="17"/>
        <w:keepNext w:val="0"/>
        <w:keepLines w:val="0"/>
        <w:pageBreakBefore w:val="0"/>
        <w:widowControl w:val="0"/>
        <w:kinsoku w:val="0"/>
        <w:wordWrap/>
        <w:overflowPunct/>
        <w:topLinePunct w:val="0"/>
        <w:autoSpaceDE w:val="0"/>
        <w:autoSpaceDN w:val="0"/>
        <w:bidi w:val="0"/>
        <w:adjustRightInd w:val="0"/>
        <w:snapToGrid w:val="0"/>
        <w:spacing w:beforeAutospacing="0" w:afterAutospacing="0" w:line="560" w:lineRule="exact"/>
        <w:jc w:val="both"/>
        <w:textAlignment w:val="baseline"/>
        <w:rPr>
          <w:rFonts w:hint="eastAsia" w:ascii="仿宋" w:hAnsi="仿宋" w:eastAsia="仿宋" w:cs="宋体"/>
          <w:color w:val="000000"/>
          <w:sz w:val="32"/>
          <w:szCs w:val="32"/>
          <w:lang w:val="en-US" w:eastAsia="zh-CN" w:bidi="ar-SA"/>
        </w:rPr>
      </w:pPr>
      <w:r>
        <w:rPr>
          <w:rFonts w:hint="eastAsia" w:ascii="仿宋" w:hAnsi="仿宋" w:eastAsia="仿宋" w:cs="宋体"/>
          <w:color w:val="000000"/>
          <w:sz w:val="32"/>
          <w:szCs w:val="32"/>
          <w:lang w:val="en-US" w:eastAsia="zh-CN" w:bidi="ar-SA"/>
        </w:rPr>
        <w:t>3.深化公共交通行业精神文明建设。开展公共交通精神文明和党建宣传教育，将公共交通行业打造成为新时代中国特色社会主义精神文明的重要窗口。加大行业先进典型的宣传力度，积极培育公共交通服务品牌，营造文明从业、诚信从业的浓厚氛围。</w:t>
      </w:r>
    </w:p>
    <w:p>
      <w:pPr>
        <w:pStyle w:val="9"/>
        <w:keepNext w:val="0"/>
        <w:keepLines w:val="0"/>
        <w:pageBreakBefore w:val="0"/>
        <w:widowControl w:val="0"/>
        <w:kinsoku w:val="0"/>
        <w:wordWrap/>
        <w:overflowPunct/>
        <w:topLinePunct w:val="0"/>
        <w:autoSpaceDE w:val="0"/>
        <w:autoSpaceDN w:val="0"/>
        <w:bidi w:val="0"/>
        <w:adjustRightInd w:val="0"/>
        <w:snapToGrid w:val="0"/>
        <w:spacing w:beforeAutospacing="0" w:afterAutospacing="0" w:line="560" w:lineRule="exact"/>
        <w:jc w:val="both"/>
        <w:textAlignment w:val="baseline"/>
        <w:rPr>
          <w:rFonts w:hint="eastAsia" w:ascii="楷体" w:hAnsi="楷体" w:eastAsia="楷体" w:cs="楷体"/>
          <w:b/>
          <w:bCs/>
          <w:sz w:val="32"/>
        </w:rPr>
      </w:pPr>
      <w:r>
        <w:rPr>
          <w:rFonts w:hint="eastAsia" w:ascii="楷体" w:hAnsi="楷体" w:eastAsia="楷体" w:cs="楷体"/>
          <w:b/>
          <w:bCs/>
          <w:sz w:val="32"/>
        </w:rPr>
        <w:t>（六）促进公共交通创新协调发展</w:t>
      </w:r>
    </w:p>
    <w:p>
      <w:pPr>
        <w:widowControl/>
        <w:jc w:val="left"/>
        <w:rPr>
          <w:rFonts w:ascii="仿宋" w:hAnsi="仿宋" w:eastAsia="仿宋"/>
        </w:rPr>
      </w:pPr>
      <w:r>
        <w:rPr>
          <w:rFonts w:hint="eastAsia" w:ascii="仿宋" w:hAnsi="仿宋" w:eastAsia="仿宋"/>
        </w:rPr>
        <w:t>1.加强公共交通安全管理。落实安全管理制度、安全生产责任，</w:t>
      </w:r>
      <w:r>
        <w:rPr>
          <w:rFonts w:ascii="仿宋_GB2312" w:hAnsi="仿宋_GB2312" w:eastAsia="仿宋_GB2312" w:cs="仿宋_GB2312"/>
          <w:color w:val="000000"/>
          <w:kern w:val="0"/>
          <w:sz w:val="31"/>
          <w:szCs w:val="31"/>
          <w:lang w:val="en-US" w:eastAsia="zh-CN" w:bidi="ar"/>
        </w:rPr>
        <w:t>健全以安全风险分级管控和隐患排查治理双重预防机制为核心的安全生产标准化管理体系</w:t>
      </w:r>
      <w:r>
        <w:rPr>
          <w:rFonts w:hint="eastAsia"/>
          <w:lang w:eastAsia="zh-CN"/>
        </w:rPr>
        <w:t>。</w:t>
      </w:r>
      <w:r>
        <w:rPr>
          <w:rFonts w:hint="eastAsia" w:ascii="仿宋" w:hAnsi="仿宋" w:eastAsia="仿宋"/>
        </w:rPr>
        <w:t>推进车辆安全防范新技术应用，实施车辆运行状态监控，提高安全防控能力。健全安全应急预案管理体系，定期组织培训演练。</w:t>
      </w:r>
    </w:p>
    <w:p>
      <w:pPr>
        <w:pStyle w:val="17"/>
        <w:keepNext w:val="0"/>
        <w:keepLines w:val="0"/>
        <w:pageBreakBefore w:val="0"/>
        <w:widowControl w:val="0"/>
        <w:kinsoku w:val="0"/>
        <w:wordWrap/>
        <w:overflowPunct/>
        <w:topLinePunct w:val="0"/>
        <w:autoSpaceDE w:val="0"/>
        <w:autoSpaceDN w:val="0"/>
        <w:bidi w:val="0"/>
        <w:adjustRightInd w:val="0"/>
        <w:snapToGrid w:val="0"/>
        <w:spacing w:beforeAutospacing="0" w:afterAutospacing="0" w:line="560" w:lineRule="exact"/>
        <w:jc w:val="both"/>
        <w:textAlignment w:val="baseline"/>
        <w:rPr>
          <w:rFonts w:hint="eastAsia" w:ascii="仿宋" w:hAnsi="仿宋" w:eastAsia="仿宋"/>
          <w:color w:val="FF0000"/>
          <w:lang w:eastAsia="zh-CN"/>
        </w:rPr>
      </w:pPr>
      <w:r>
        <w:rPr>
          <w:rFonts w:hint="eastAsia" w:ascii="仿宋" w:hAnsi="仿宋" w:eastAsia="仿宋"/>
        </w:rPr>
        <w:t>2.推动城乡交通运输均等化发展。积极适应新型城镇化发展要求，抢抓城乡交通运输一体化国家级示范县创建机遇，实行城乡客运一体化改造，扩大农村公共交通线网通达深度和覆盖面，让农村群众享受普惠性的公共交通服务</w:t>
      </w:r>
      <w:r>
        <w:rPr>
          <w:rFonts w:hint="eastAsia" w:ascii="仿宋" w:hAnsi="仿宋" w:eastAsia="仿宋"/>
          <w:lang w:eastAsia="zh-CN"/>
        </w:rPr>
        <w:t>。</w:t>
      </w:r>
      <w:r>
        <w:rPr>
          <w:rFonts w:hint="eastAsia" w:ascii="仿宋" w:hAnsi="仿宋" w:eastAsia="仿宋"/>
          <w:color w:val="auto"/>
        </w:rPr>
        <w:t>积极推动城际班线公交化改造，推动毗邻地区公共交通的互联互通，</w:t>
      </w:r>
      <w:r>
        <w:rPr>
          <w:rFonts w:hint="eastAsia" w:ascii="仿宋" w:hAnsi="仿宋" w:eastAsia="仿宋"/>
          <w:color w:val="auto"/>
          <w:lang w:val="en-US" w:eastAsia="zh-CN"/>
        </w:rPr>
        <w:t>助力</w:t>
      </w:r>
      <w:r>
        <w:rPr>
          <w:rFonts w:hint="eastAsia" w:ascii="仿宋" w:hAnsi="仿宋" w:eastAsia="仿宋"/>
          <w:color w:val="auto"/>
        </w:rPr>
        <w:t>三亚经济圈</w:t>
      </w:r>
      <w:r>
        <w:rPr>
          <w:rFonts w:hint="eastAsia" w:ascii="仿宋" w:hAnsi="仿宋" w:eastAsia="仿宋"/>
          <w:color w:val="auto"/>
          <w:lang w:val="en-US" w:eastAsia="zh-CN"/>
        </w:rPr>
        <w:t>区域交通</w:t>
      </w:r>
      <w:r>
        <w:rPr>
          <w:rFonts w:hint="eastAsia" w:ascii="仿宋" w:hAnsi="仿宋" w:eastAsia="仿宋"/>
          <w:color w:val="auto"/>
        </w:rPr>
        <w:t>一体化发展</w:t>
      </w:r>
      <w:r>
        <w:rPr>
          <w:rFonts w:hint="eastAsia" w:ascii="仿宋" w:hAnsi="仿宋" w:eastAsia="仿宋"/>
          <w:color w:val="auto"/>
          <w:lang w:eastAsia="zh-CN"/>
        </w:rPr>
        <w:t>。</w:t>
      </w:r>
    </w:p>
    <w:p>
      <w:pPr>
        <w:pStyle w:val="17"/>
        <w:keepNext w:val="0"/>
        <w:keepLines w:val="0"/>
        <w:pageBreakBefore w:val="0"/>
        <w:widowControl w:val="0"/>
        <w:kinsoku w:val="0"/>
        <w:wordWrap/>
        <w:overflowPunct/>
        <w:topLinePunct w:val="0"/>
        <w:autoSpaceDE w:val="0"/>
        <w:autoSpaceDN w:val="0"/>
        <w:bidi w:val="0"/>
        <w:adjustRightInd w:val="0"/>
        <w:snapToGrid w:val="0"/>
        <w:spacing w:beforeAutospacing="0" w:afterAutospacing="0" w:line="560" w:lineRule="exact"/>
        <w:jc w:val="both"/>
        <w:textAlignment w:val="baseline"/>
        <w:rPr>
          <w:rFonts w:hint="eastAsia" w:ascii="仿宋" w:hAnsi="仿宋" w:eastAsia="仿宋"/>
        </w:rPr>
      </w:pPr>
      <w:r>
        <w:rPr>
          <w:rFonts w:hint="eastAsia" w:ascii="仿宋" w:hAnsi="仿宋" w:eastAsia="仿宋"/>
        </w:rPr>
        <w:t xml:space="preserve">3.支持公交企业创新发展。深化企业经营体制机制改革，盘活经营性资产与主业相关的经营性业务。支持公交企业资本多元化、业务拓展市场化，拓展行业相关辅业所得收益用于弥补主业亏损，改善财务状况，增强内生动力，促进公交企业可持续发展。  </w:t>
      </w:r>
    </w:p>
    <w:p>
      <w:pPr>
        <w:keepNext w:val="0"/>
        <w:keepLines w:val="0"/>
        <w:pageBreakBefore w:val="0"/>
        <w:widowControl w:val="0"/>
        <w:kinsoku w:val="0"/>
        <w:wordWrap/>
        <w:overflowPunct/>
        <w:topLinePunct w:val="0"/>
        <w:autoSpaceDE w:val="0"/>
        <w:autoSpaceDN w:val="0"/>
        <w:bidi w:val="0"/>
        <w:adjustRightInd w:val="0"/>
        <w:snapToGrid w:val="0"/>
        <w:spacing w:beforeAutospacing="0" w:afterAutospacing="0" w:line="560" w:lineRule="exact"/>
        <w:jc w:val="both"/>
        <w:textAlignment w:val="baseline"/>
        <w:rPr>
          <w:rFonts w:hint="eastAsia" w:ascii="黑体" w:hAnsi="黑体" w:eastAsia="黑体" w:cs="黑体"/>
        </w:rPr>
      </w:pPr>
      <w:r>
        <w:rPr>
          <w:rFonts w:hint="eastAsia" w:ascii="黑体" w:hAnsi="黑体" w:eastAsia="黑体" w:cs="黑体"/>
          <w:lang w:val="en-US" w:eastAsia="zh-CN"/>
        </w:rPr>
        <w:t>三</w:t>
      </w:r>
      <w:r>
        <w:rPr>
          <w:rFonts w:hint="eastAsia" w:ascii="黑体" w:hAnsi="黑体" w:eastAsia="黑体" w:cs="黑体"/>
        </w:rPr>
        <w:t>、保障措施</w:t>
      </w:r>
    </w:p>
    <w:p>
      <w:pPr>
        <w:pStyle w:val="17"/>
        <w:keepNext w:val="0"/>
        <w:keepLines w:val="0"/>
        <w:pageBreakBefore w:val="0"/>
        <w:widowControl w:val="0"/>
        <w:kinsoku w:val="0"/>
        <w:wordWrap/>
        <w:overflowPunct/>
        <w:topLinePunct w:val="0"/>
        <w:autoSpaceDE w:val="0"/>
        <w:autoSpaceDN w:val="0"/>
        <w:bidi w:val="0"/>
        <w:adjustRightInd w:val="0"/>
        <w:snapToGrid w:val="0"/>
        <w:spacing w:beforeAutospacing="0" w:afterAutospacing="0" w:line="560" w:lineRule="exact"/>
        <w:jc w:val="both"/>
        <w:textAlignment w:val="baseline"/>
        <w:rPr>
          <w:rFonts w:ascii="仿宋" w:hAnsi="仿宋" w:eastAsia="仿宋"/>
        </w:rPr>
      </w:pPr>
      <w:r>
        <w:rPr>
          <w:rFonts w:hint="eastAsia" w:ascii="楷体" w:hAnsi="楷体" w:eastAsia="楷体" w:cs="楷体"/>
          <w:b/>
          <w:bCs/>
          <w:color w:val="000000"/>
          <w:sz w:val="32"/>
          <w:szCs w:val="32"/>
          <w:lang w:val="en-US" w:eastAsia="zh-CN" w:bidi="ar-SA"/>
        </w:rPr>
        <w:t>（一）完善工作机制。</w:t>
      </w:r>
      <w:r>
        <w:rPr>
          <w:rFonts w:hint="eastAsia" w:ascii="仿宋" w:hAnsi="仿宋" w:eastAsia="仿宋"/>
        </w:rPr>
        <w:t>在县人民政府领导下，建立有关部门共同参与的组织协调机制，将公共交通优先发展贯穿到城市规划、建设和社会公共管理的全过程，纳入到保障和改善民生、为民办实事的工作计划。定期研究解决公共交通发展中遇到的问题，全力推进公共交通优先发展。</w:t>
      </w:r>
    </w:p>
    <w:p>
      <w:pPr>
        <w:pStyle w:val="9"/>
        <w:keepNext w:val="0"/>
        <w:keepLines w:val="0"/>
        <w:pageBreakBefore w:val="0"/>
        <w:widowControl w:val="0"/>
        <w:suppressLineNumbers w:val="0"/>
        <w:kinsoku w:val="0"/>
        <w:wordWrap/>
        <w:overflowPunct/>
        <w:topLinePunct w:val="0"/>
        <w:autoSpaceDE w:val="0"/>
        <w:autoSpaceDN w:val="0"/>
        <w:bidi w:val="0"/>
        <w:adjustRightInd w:val="0"/>
        <w:snapToGrid w:val="0"/>
        <w:spacing w:beforeAutospacing="0" w:afterAutospacing="0"/>
        <w:ind w:left="0" w:firstLine="420"/>
        <w:jc w:val="both"/>
        <w:textAlignment w:val="baseline"/>
        <w:rPr>
          <w:rFonts w:hint="eastAsia" w:ascii="仿宋" w:hAnsi="仿宋" w:eastAsia="仿宋"/>
          <w:color w:val="auto"/>
          <w:lang w:eastAsia="zh-CN"/>
        </w:rPr>
      </w:pPr>
      <w:r>
        <w:rPr>
          <w:rFonts w:hint="eastAsia" w:ascii="楷体" w:hAnsi="楷体" w:eastAsia="楷体" w:cs="楷体"/>
          <w:b/>
          <w:bCs/>
          <w:color w:val="000000"/>
          <w:sz w:val="32"/>
          <w:szCs w:val="32"/>
          <w:lang w:val="en-US" w:eastAsia="zh-CN" w:bidi="ar-SA"/>
        </w:rPr>
        <w:t>（二）健全政策体系。</w:t>
      </w:r>
      <w:r>
        <w:rPr>
          <w:rFonts w:hint="eastAsia" w:ascii="仿宋" w:hAnsi="仿宋" w:eastAsia="仿宋" w:cs="宋体"/>
          <w:color w:val="000000"/>
          <w:sz w:val="32"/>
          <w:szCs w:val="32"/>
          <w:lang w:val="zh-CN" w:eastAsia="zh-CN" w:bidi="ar-SA"/>
        </w:rPr>
        <w:t>健全和完善公共交通优先发展的相关政策体系，积极推动立法工作，为公共交通提供保障。研究制定公共交通运营服务、设施建设等方面的标准规范，为服务公共交通优先发展</w:t>
      </w:r>
      <w:r>
        <w:rPr>
          <w:rFonts w:hint="eastAsia" w:ascii="仿宋" w:hAnsi="仿宋" w:eastAsia="仿宋" w:cs="宋体"/>
          <w:color w:val="auto"/>
          <w:sz w:val="32"/>
          <w:szCs w:val="32"/>
          <w:lang w:val="zh-CN" w:eastAsia="zh-CN" w:bidi="ar-SA"/>
        </w:rPr>
        <w:t>提供技术支持。</w:t>
      </w:r>
      <w:r>
        <w:rPr>
          <w:rFonts w:hint="eastAsia" w:cs="宋体"/>
          <w:color w:val="auto"/>
          <w:sz w:val="32"/>
          <w:szCs w:val="32"/>
          <w:lang w:val="en-US" w:eastAsia="zh-CN" w:bidi="ar-SA"/>
        </w:rPr>
        <w:t>建立完善</w:t>
      </w:r>
      <w:r>
        <w:rPr>
          <w:rFonts w:hint="eastAsia" w:ascii="仿宋" w:hAnsi="仿宋" w:eastAsia="仿宋" w:cs="宋体"/>
          <w:color w:val="auto"/>
          <w:sz w:val="32"/>
          <w:szCs w:val="32"/>
          <w:lang w:val="zh-CN" w:eastAsia="zh-CN" w:bidi="ar-SA"/>
        </w:rPr>
        <w:t>价格机制、政策性亏损补贴补偿、保障公交优先通行</w:t>
      </w:r>
      <w:r>
        <w:rPr>
          <w:rFonts w:hint="eastAsia" w:cs="宋体"/>
          <w:color w:val="auto"/>
          <w:sz w:val="32"/>
          <w:szCs w:val="32"/>
          <w:lang w:val="zh-CN" w:eastAsia="zh-CN" w:bidi="ar-SA"/>
        </w:rPr>
        <w:t>、</w:t>
      </w:r>
      <w:r>
        <w:rPr>
          <w:rFonts w:hint="eastAsia" w:ascii="仿宋" w:hAnsi="仿宋" w:eastAsia="仿宋" w:cs="宋体"/>
          <w:color w:val="auto"/>
          <w:sz w:val="32"/>
          <w:szCs w:val="32"/>
          <w:lang w:val="zh-CN" w:eastAsia="zh-CN" w:bidi="ar-SA"/>
        </w:rPr>
        <w:t>用地综合开发收益反哺机制等</w:t>
      </w:r>
      <w:r>
        <w:rPr>
          <w:rFonts w:hint="eastAsia" w:cs="宋体"/>
          <w:color w:val="auto"/>
          <w:sz w:val="32"/>
          <w:szCs w:val="32"/>
          <w:lang w:val="en-US" w:eastAsia="zh-CN" w:bidi="ar-SA"/>
        </w:rPr>
        <w:t>支持</w:t>
      </w:r>
      <w:r>
        <w:rPr>
          <w:rFonts w:hint="eastAsia" w:ascii="仿宋" w:hAnsi="仿宋" w:eastAsia="仿宋" w:cs="宋体"/>
          <w:color w:val="auto"/>
          <w:sz w:val="32"/>
          <w:szCs w:val="32"/>
          <w:lang w:val="zh-CN" w:eastAsia="zh-CN" w:bidi="ar-SA"/>
        </w:rPr>
        <w:t>政策</w:t>
      </w:r>
      <w:r>
        <w:rPr>
          <w:rFonts w:hint="eastAsia" w:cs="宋体"/>
          <w:color w:val="auto"/>
          <w:sz w:val="32"/>
          <w:szCs w:val="32"/>
          <w:lang w:val="zh-CN" w:eastAsia="zh-CN" w:bidi="ar-SA"/>
        </w:rPr>
        <w:t>，</w:t>
      </w:r>
      <w:r>
        <w:rPr>
          <w:rFonts w:hint="eastAsia" w:cs="宋体"/>
          <w:color w:val="auto"/>
          <w:sz w:val="32"/>
          <w:szCs w:val="32"/>
          <w:lang w:val="en-US" w:eastAsia="zh-CN" w:bidi="ar-SA"/>
        </w:rPr>
        <w:t>促进</w:t>
      </w:r>
      <w:r>
        <w:rPr>
          <w:rFonts w:hint="eastAsia" w:ascii="仿宋" w:hAnsi="仿宋" w:eastAsia="仿宋" w:cs="宋体"/>
          <w:color w:val="auto"/>
          <w:sz w:val="32"/>
          <w:szCs w:val="32"/>
          <w:lang w:val="zh-CN" w:eastAsia="zh-CN" w:bidi="ar-SA"/>
        </w:rPr>
        <w:t>公共交通</w:t>
      </w:r>
      <w:r>
        <w:rPr>
          <w:rFonts w:hint="eastAsia" w:cs="宋体"/>
          <w:color w:val="auto"/>
          <w:sz w:val="32"/>
          <w:szCs w:val="32"/>
          <w:lang w:val="en-US" w:eastAsia="zh-CN" w:bidi="ar-SA"/>
        </w:rPr>
        <w:t>行业</w:t>
      </w:r>
      <w:r>
        <w:rPr>
          <w:rFonts w:hint="eastAsia" w:ascii="仿宋" w:hAnsi="仿宋" w:eastAsia="仿宋" w:cs="宋体"/>
          <w:color w:val="auto"/>
          <w:sz w:val="32"/>
          <w:szCs w:val="32"/>
          <w:lang w:val="zh-CN" w:eastAsia="zh-CN" w:bidi="ar-SA"/>
        </w:rPr>
        <w:t>可持续发展。</w:t>
      </w:r>
    </w:p>
    <w:p>
      <w:pPr>
        <w:pStyle w:val="17"/>
        <w:keepNext w:val="0"/>
        <w:keepLines w:val="0"/>
        <w:pageBreakBefore w:val="0"/>
        <w:widowControl w:val="0"/>
        <w:kinsoku w:val="0"/>
        <w:wordWrap/>
        <w:overflowPunct/>
        <w:topLinePunct w:val="0"/>
        <w:autoSpaceDE w:val="0"/>
        <w:autoSpaceDN w:val="0"/>
        <w:bidi w:val="0"/>
        <w:adjustRightInd w:val="0"/>
        <w:snapToGrid w:val="0"/>
        <w:spacing w:beforeAutospacing="0" w:afterAutospacing="0" w:line="560" w:lineRule="exact"/>
        <w:jc w:val="both"/>
        <w:textAlignment w:val="baseline"/>
        <w:rPr>
          <w:rFonts w:ascii="仿宋" w:hAnsi="仿宋" w:eastAsia="仿宋"/>
        </w:rPr>
      </w:pPr>
      <w:r>
        <w:rPr>
          <w:rFonts w:hint="eastAsia" w:ascii="楷体" w:hAnsi="楷体" w:eastAsia="楷体" w:cs="楷体"/>
          <w:b/>
          <w:bCs/>
          <w:color w:val="auto"/>
          <w:sz w:val="32"/>
          <w:szCs w:val="32"/>
          <w:lang w:val="en-US" w:eastAsia="zh-CN" w:bidi="ar-SA"/>
        </w:rPr>
        <w:t>（三）</w:t>
      </w:r>
      <w:r>
        <w:rPr>
          <w:rFonts w:hint="eastAsia" w:ascii="楷体" w:hAnsi="楷体" w:eastAsia="楷体" w:cs="楷体"/>
          <w:b/>
          <w:bCs/>
          <w:color w:val="000000"/>
          <w:sz w:val="32"/>
          <w:szCs w:val="32"/>
          <w:lang w:val="en-US" w:eastAsia="zh-CN" w:bidi="ar-SA"/>
        </w:rPr>
        <w:t>健全公共交通服务质量考评体系。</w:t>
      </w:r>
      <w:r>
        <w:rPr>
          <w:rFonts w:hint="eastAsia" w:ascii="仿宋" w:hAnsi="仿宋" w:eastAsia="仿宋"/>
        </w:rPr>
        <w:t>制定并落实公共交通运营服务标准和考核办法，细化公共交通服务质量考核指标体系，定期对公共交通企业运营服务质量实施监督考核。将考核结果作为衡量公共交通企业运营绩效、发放政府补贴、市场准入与退出的重要依据，促进公共交通运营资源向集约化程度高、服务质量好、社会效益显著的企业集中。</w:t>
      </w:r>
    </w:p>
    <w:p>
      <w:pPr>
        <w:pStyle w:val="17"/>
        <w:keepNext w:val="0"/>
        <w:keepLines w:val="0"/>
        <w:pageBreakBefore w:val="0"/>
        <w:widowControl w:val="0"/>
        <w:kinsoku w:val="0"/>
        <w:wordWrap/>
        <w:overflowPunct/>
        <w:topLinePunct w:val="0"/>
        <w:autoSpaceDE w:val="0"/>
        <w:autoSpaceDN w:val="0"/>
        <w:bidi w:val="0"/>
        <w:adjustRightInd w:val="0"/>
        <w:snapToGrid w:val="0"/>
        <w:spacing w:beforeAutospacing="0" w:afterAutospacing="0" w:line="560" w:lineRule="exact"/>
        <w:jc w:val="both"/>
        <w:textAlignment w:val="baseline"/>
      </w:pPr>
      <w:r>
        <w:rPr>
          <w:rFonts w:hint="eastAsia" w:ascii="楷体" w:hAnsi="楷体" w:eastAsia="楷体" w:cs="楷体"/>
          <w:b/>
          <w:bCs/>
          <w:color w:val="000000"/>
          <w:sz w:val="32"/>
          <w:szCs w:val="32"/>
          <w:lang w:val="en-US" w:eastAsia="zh-CN" w:bidi="ar-SA"/>
        </w:rPr>
        <w:t>（四）维护职工合法权益。</w:t>
      </w:r>
      <w:r>
        <w:rPr>
          <w:rFonts w:hint="eastAsia" w:ascii="仿宋" w:hAnsi="仿宋" w:eastAsia="仿宋"/>
        </w:rPr>
        <w:t>促进公交企业与驾驶员依法建立和规范劳动关系，加强劳动保护。建立健全职工工资增长机制，合理提高企业职工收入和社会保障水平。定期组织从业人员身心健康检查，建立健康档案，保护从业人员身心健康。</w:t>
      </w:r>
    </w:p>
    <w:p>
      <w:pPr>
        <w:pStyle w:val="17"/>
        <w:keepNext w:val="0"/>
        <w:keepLines w:val="0"/>
        <w:pageBreakBefore w:val="0"/>
        <w:widowControl w:val="0"/>
        <w:kinsoku w:val="0"/>
        <w:wordWrap/>
        <w:overflowPunct/>
        <w:topLinePunct w:val="0"/>
        <w:autoSpaceDE w:val="0"/>
        <w:autoSpaceDN w:val="0"/>
        <w:bidi w:val="0"/>
        <w:adjustRightInd w:val="0"/>
        <w:snapToGrid w:val="0"/>
        <w:spacing w:beforeAutospacing="0" w:afterAutospacing="0" w:line="560" w:lineRule="exact"/>
        <w:jc w:val="both"/>
        <w:textAlignment w:val="baseline"/>
        <w:rPr>
          <w:rFonts w:ascii="仿宋" w:hAnsi="仿宋" w:eastAsia="仿宋"/>
        </w:rPr>
      </w:pPr>
      <w:r>
        <w:rPr>
          <w:rFonts w:hint="eastAsia" w:ascii="楷体" w:hAnsi="楷体" w:eastAsia="楷体" w:cs="楷体"/>
          <w:b/>
          <w:bCs/>
          <w:color w:val="000000"/>
          <w:sz w:val="32"/>
          <w:szCs w:val="32"/>
          <w:lang w:val="en-US" w:eastAsia="zh-CN" w:bidi="ar-SA"/>
        </w:rPr>
        <w:t>（五）强化社会监督。</w:t>
      </w:r>
      <w:r>
        <w:rPr>
          <w:rFonts w:hint="eastAsia" w:ascii="仿宋" w:hAnsi="仿宋" w:eastAsia="仿宋"/>
        </w:rPr>
        <w:t>加强舆论宣传引导，不断增强公众对绿色出行、公交优先的认同感。充分发挥各类媒体、行业协会、专家智库和公益组织的作用，广泛动员全社会积极参与，形成共建、</w:t>
      </w:r>
      <w:r>
        <w:rPr>
          <w:rFonts w:hint="eastAsia" w:ascii="仿宋" w:hAnsi="仿宋" w:eastAsia="仿宋"/>
          <w:color w:val="auto"/>
        </w:rPr>
        <w:t>共治、共享的</w:t>
      </w:r>
      <w:r>
        <w:rPr>
          <w:rFonts w:hint="eastAsia" w:ascii="仿宋" w:hAnsi="仿宋" w:eastAsia="仿宋"/>
        </w:rPr>
        <w:t>城市公共交通优先发展格局。</w:t>
      </w:r>
    </w:p>
    <w:p>
      <w:pPr>
        <w:keepNext w:val="0"/>
        <w:keepLines w:val="0"/>
        <w:pageBreakBefore w:val="0"/>
        <w:widowControl w:val="0"/>
        <w:wordWrap/>
        <w:overflowPunct/>
        <w:topLinePunct w:val="0"/>
        <w:bidi w:val="0"/>
      </w:pPr>
    </w:p>
    <w:p>
      <w:pPr>
        <w:keepNext w:val="0"/>
        <w:keepLines w:val="0"/>
        <w:pageBreakBefore w:val="0"/>
        <w:widowControl w:val="0"/>
        <w:wordWrap/>
        <w:overflowPunct/>
        <w:topLinePunct w:val="0"/>
        <w:bidi w:val="0"/>
      </w:pPr>
    </w:p>
    <w:p>
      <w:pPr>
        <w:keepNext w:val="0"/>
        <w:keepLines w:val="0"/>
        <w:pageBreakBefore w:val="0"/>
        <w:widowControl w:val="0"/>
        <w:wordWrap/>
        <w:overflowPunct/>
        <w:topLinePunct w:val="0"/>
        <w:bidi w:val="0"/>
      </w:pPr>
    </w:p>
    <w:p>
      <w:pPr>
        <w:keepNext w:val="0"/>
        <w:keepLines w:val="0"/>
        <w:pageBreakBefore w:val="0"/>
        <w:widowControl w:val="0"/>
        <w:wordWrap/>
        <w:overflowPunct/>
        <w:topLinePunct w:val="0"/>
        <w:bidi w:val="0"/>
      </w:pPr>
    </w:p>
    <w:sectPr>
      <w:footerReference r:id="rId3" w:type="default"/>
      <w:pgSz w:w="11900" w:h="16840"/>
      <w:pgMar w:top="1440" w:right="1800" w:bottom="1440" w:left="1800" w:header="0" w:footer="439" w:gutter="0"/>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5E1A05A-CAEA-43E8-8DFD-D4CCD04DCEF7}"/>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embedRegular r:id="rId2" w:fontKey="{42A474F8-18D2-4DFE-B0BE-0547D99ADC61}"/>
  </w:font>
  <w:font w:name="仿宋_GB2312">
    <w:panose1 w:val="02010609030101010101"/>
    <w:charset w:val="86"/>
    <w:family w:val="modern"/>
    <w:pitch w:val="default"/>
    <w:sig w:usb0="00000001" w:usb1="080E0000" w:usb2="00000000" w:usb3="00000000" w:csb0="00040000" w:csb1="00000000"/>
    <w:embedRegular r:id="rId3" w:fontKey="{313E5272-D3C5-419C-BFE2-2BA6C5635D7D}"/>
  </w:font>
  <w:font w:name="华文楷体">
    <w:altName w:val="楷体_GB2312"/>
    <w:panose1 w:val="02010600040101010101"/>
    <w:charset w:val="86"/>
    <w:family w:val="auto"/>
    <w:pitch w:val="default"/>
    <w:sig w:usb0="00000000" w:usb1="00000000" w:usb2="00000000" w:usb3="00000000" w:csb0="0004009F" w:csb1="DFD70000"/>
  </w:font>
  <w:font w:name="方正公文小标宋">
    <w:panose1 w:val="02000500000000000000"/>
    <w:charset w:val="86"/>
    <w:family w:val="auto"/>
    <w:pitch w:val="default"/>
    <w:sig w:usb0="00000000" w:usb1="00000000" w:usb2="00000000" w:usb3="00000000" w:csb0="00000000" w:csb1="00000000"/>
    <w:embedRegular r:id="rId4" w:fontKey="{CD7BC42A-D5D4-40C6-8BB4-DB1483979DA4}"/>
  </w:font>
  <w:font w:name="楷体">
    <w:panose1 w:val="02010609060101010101"/>
    <w:charset w:val="86"/>
    <w:family w:val="modern"/>
    <w:pitch w:val="default"/>
    <w:sig w:usb0="800002BF" w:usb1="38CF7CFA" w:usb2="00000016" w:usb3="00000000" w:csb0="00040001" w:csb1="00000000"/>
    <w:embedRegular r:id="rId5" w:fontKey="{00021F84-4F9B-44D0-9471-A3297B5E2C2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0" w:leftChars="0" w:firstLine="0" w:firstLineChars="0"/>
      <w:rPr>
        <w:rFonts w:ascii="宋体" w:hAnsi="宋体" w:eastAsia="宋体"/>
        <w:szCs w:val="31"/>
      </w:rPr>
    </w:pPr>
    <w:r>
      <w:rPr>
        <w:sz w:val="32"/>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tentative="0">
      <w:start w:val="1"/>
      <w:numFmt w:val="bullet"/>
      <w:pStyle w:val="4"/>
      <w:lvlText w:val=""/>
      <w:lvlJc w:val="left"/>
      <w:pPr>
        <w:ind w:left="420" w:hanging="420"/>
      </w:pPr>
      <w:rPr>
        <w:rFonts w:hint="default" w:ascii="Wingdings" w:hAnsi="Wingdings"/>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embedTrueTypeFonts/>
  <w:saveSubsetFonts/>
  <w:bordersDoNotSurroundHeader w:val="0"/>
  <w:bordersDoNotSurroundFooter w:val="0"/>
  <w:trackRevisions w:val="1"/>
  <w:documentProtection w:enforcement="0"/>
  <w:defaultTabStop w:val="420"/>
  <w:displayHorizontalDrawingGridEvery w:val="1"/>
  <w:displayVerticalDrawingGridEvery w:val="1"/>
  <w:noPunctuationKerning w:val="1"/>
  <w:characterSpacingControl w:val="doNotCompress"/>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MWZlYjMwNDdiNjA1ZTU0ZGJlN2EyZmM4OTNlZGMxN2MifQ=="/>
  </w:docVars>
  <w:rsids>
    <w:rsidRoot w:val="00140610"/>
    <w:rsid w:val="00140610"/>
    <w:rsid w:val="0034689C"/>
    <w:rsid w:val="005555A2"/>
    <w:rsid w:val="008677E6"/>
    <w:rsid w:val="00C729AB"/>
    <w:rsid w:val="00F54AEA"/>
    <w:rsid w:val="0CCE30F0"/>
    <w:rsid w:val="0D4032E2"/>
    <w:rsid w:val="0E736CF8"/>
    <w:rsid w:val="0EBC381D"/>
    <w:rsid w:val="10DC643D"/>
    <w:rsid w:val="16AF1456"/>
    <w:rsid w:val="2AAF4D47"/>
    <w:rsid w:val="2E5F1136"/>
    <w:rsid w:val="30C90CB2"/>
    <w:rsid w:val="30FA498E"/>
    <w:rsid w:val="39952713"/>
    <w:rsid w:val="48DE2797"/>
    <w:rsid w:val="573F7C09"/>
    <w:rsid w:val="64232670"/>
    <w:rsid w:val="69652105"/>
    <w:rsid w:val="6CC8459B"/>
    <w:rsid w:val="7BB81943"/>
    <w:rsid w:val="7C462C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560" w:lineRule="exact"/>
      <w:ind w:firstLine="640" w:firstLineChars="200"/>
      <w:jc w:val="both"/>
      <w:textAlignment w:val="baseline"/>
    </w:pPr>
    <w:rPr>
      <w:rFonts w:ascii="仿宋" w:hAnsi="仿宋" w:eastAsia="仿宋" w:cs="宋体"/>
      <w:color w:val="000000"/>
      <w:sz w:val="32"/>
      <w:szCs w:val="3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bCs/>
      <w:sz w:val="27"/>
      <w:szCs w:val="27"/>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4">
    <w:name w:val="Normal Indent"/>
    <w:basedOn w:val="1"/>
    <w:next w:val="1"/>
    <w:qFormat/>
    <w:uiPriority w:val="0"/>
    <w:pPr>
      <w:numPr>
        <w:ilvl w:val="0"/>
        <w:numId w:val="1"/>
      </w:numPr>
      <w:spacing w:line="600" w:lineRule="exact"/>
      <w:ind w:left="0" w:firstLine="680" w:firstLineChars="0"/>
      <w:jc w:val="left"/>
    </w:pPr>
    <w:rPr>
      <w:rFonts w:ascii="仿宋_GB2312" w:cs="Times New Roman"/>
    </w:rPr>
  </w:style>
  <w:style w:type="paragraph" w:styleId="5">
    <w:name w:val="Body Text"/>
    <w:basedOn w:val="1"/>
    <w:semiHidden/>
    <w:qFormat/>
    <w:uiPriority w:val="0"/>
    <w:rPr>
      <w:rFonts w:ascii="Arial" w:hAnsi="Arial" w:eastAsia="Arial" w:cs="Arial"/>
      <w:sz w:val="21"/>
      <w:szCs w:val="21"/>
      <w:lang w:eastAsia="en-US"/>
    </w:rPr>
  </w:style>
  <w:style w:type="paragraph" w:styleId="6">
    <w:name w:val="toc 3"/>
    <w:basedOn w:val="1"/>
    <w:next w:val="1"/>
    <w:qFormat/>
    <w:uiPriority w:val="39"/>
    <w:pPr>
      <w:ind w:left="840" w:leftChars="400"/>
    </w:pPr>
  </w:style>
  <w:style w:type="paragraph" w:styleId="7">
    <w:name w:val="footer"/>
    <w:basedOn w:val="1"/>
    <w:qFormat/>
    <w:uiPriority w:val="0"/>
    <w:pPr>
      <w:tabs>
        <w:tab w:val="center" w:pos="4153"/>
        <w:tab w:val="right" w:pos="8306"/>
      </w:tabs>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pacing w:line="240" w:lineRule="auto"/>
    </w:pPr>
    <w:rPr>
      <w:sz w:val="18"/>
    </w:rPr>
  </w:style>
  <w:style w:type="paragraph" w:styleId="9">
    <w:name w:val="Normal (Web)"/>
    <w:basedOn w:val="1"/>
    <w:qFormat/>
    <w:uiPriority w:val="0"/>
    <w:pPr>
      <w:spacing w:beforeAutospacing="1" w:afterAutospacing="1"/>
      <w:jc w:val="left"/>
    </w:pPr>
    <w:rPr>
      <w:rFonts w:cs="Times New Roman"/>
      <w:sz w:val="24"/>
    </w:rPr>
  </w:style>
  <w:style w:type="character" w:styleId="12">
    <w:name w:val="Strong"/>
    <w:basedOn w:val="11"/>
    <w:qFormat/>
    <w:uiPriority w:val="0"/>
    <w:rPr>
      <w:b/>
    </w:rPr>
  </w:style>
  <w:style w:type="character" w:styleId="13">
    <w:name w:val="Emphasis"/>
    <w:basedOn w:val="11"/>
    <w:qFormat/>
    <w:uiPriority w:val="0"/>
    <w:rPr>
      <w:i/>
    </w:rPr>
  </w:style>
  <w:style w:type="character" w:styleId="14">
    <w:name w:val="Hyperlink"/>
    <w:basedOn w:val="11"/>
    <w:qFormat/>
    <w:uiPriority w:val="0"/>
    <w:rPr>
      <w:color w:val="0000FF"/>
      <w:u w:val="single"/>
    </w:rPr>
  </w:style>
  <w:style w:type="table" w:customStyle="1" w:styleId="15">
    <w:name w:val="Table Normal"/>
    <w:semiHidden/>
    <w:unhideWhenUsed/>
    <w:qFormat/>
    <w:uiPriority w:val="0"/>
    <w:tblPr>
      <w:tblLayout w:type="fixed"/>
      <w:tblCellMar>
        <w:top w:w="0" w:type="dxa"/>
        <w:left w:w="0" w:type="dxa"/>
        <w:bottom w:w="0" w:type="dxa"/>
        <w:right w:w="0" w:type="dxa"/>
      </w:tblCellMar>
    </w:tblPr>
  </w:style>
  <w:style w:type="paragraph" w:styleId="16">
    <w:name w:val="List Paragraph"/>
    <w:basedOn w:val="1"/>
    <w:qFormat/>
    <w:uiPriority w:val="34"/>
    <w:pPr>
      <w:ind w:firstLine="420"/>
    </w:pPr>
  </w:style>
  <w:style w:type="paragraph" w:customStyle="1" w:styleId="17">
    <w:name w:val="模板正文"/>
    <w:basedOn w:val="1"/>
    <w:qFormat/>
    <w:uiPriority w:val="0"/>
    <w:pPr>
      <w:spacing w:line="360" w:lineRule="auto"/>
    </w:pPr>
    <w:rPr>
      <w:rFonts w:ascii="华文楷体" w:hAnsi="华文楷体" w:eastAsia="华文楷体"/>
      <w:lang w:val="zh-CN"/>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561</Words>
  <Characters>3204</Characters>
  <Lines>26</Lines>
  <Paragraphs>7</Paragraphs>
  <TotalTime>1</TotalTime>
  <ScaleCrop>false</ScaleCrop>
  <LinksUpToDate>false</LinksUpToDate>
  <CharactersWithSpaces>3758</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2024-01-08T10:00:00Z</dcterms:created>
  <dc:creator>Kingsoft-PDF</dc:creator>
  <cp:lastModifiedBy>Administrator</cp:lastModifiedBy>
  <cp:lastPrinted>2024-02-20T03:37:00Z</cp:lastPrinted>
  <dcterms:modified xsi:type="dcterms:W3CDTF">2024-03-28T14:24:10Z</dcterms:modified>
  <dc:subject>pdfbuilder</dc:subject>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2024-01-08T10:00:50Z</vt:filetime>
  </property>
  <property fmtid="{D5CDD505-2E9C-101B-9397-08002B2CF9AE}" pid="4" name="UsrData">
    <vt:lpwstr>659b574ef23622001f843f49wl</vt:lpwstr>
  </property>
  <property fmtid="{D5CDD505-2E9C-101B-9397-08002B2CF9AE}" pid="5" name="KSOProductBuildVer">
    <vt:lpwstr>2052-11.8.2.8411</vt:lpwstr>
  </property>
  <property fmtid="{D5CDD505-2E9C-101B-9397-08002B2CF9AE}" pid="6" name="ICV">
    <vt:lpwstr>AAAB1802FBDA47E6BC010D168CAE74DE_13</vt:lpwstr>
  </property>
</Properties>
</file>