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napToGrid w:val="0"/>
          <w:color w:val="auto"/>
          <w:kern w:val="0"/>
          <w:sz w:val="36"/>
          <w:szCs w:val="36"/>
          <w:highlight w:val="none"/>
          <w:lang w:val="en-US" w:eastAsia="zh-CN"/>
        </w:rPr>
        <w:t>政策性照顾加分项目分值表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8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5060"/>
        <w:gridCol w:w="1063"/>
        <w:gridCol w:w="16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加分值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适用范围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革命烈士子女，全国公安、司法系统烈士子女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6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报考普通高中，高职院校，中高职“3+2”连读、中高职“3+2”分段培养试点班的考生，录取时在原始分总分的基础上增加相应的分值（符合多项的，只能享受最高的一项）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一级、二级英雄模范和因公牺牲公安、司法行政机关人民警察子女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现驻三沙市的军、警部队现役军人和有关单位干部职工（驻岛时间达半年以上）的子女</w:t>
            </w:r>
          </w:p>
        </w:tc>
        <w:tc>
          <w:tcPr>
            <w:tcW w:w="10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全国公安、司法系统一级至四级因公伤残的人民警察子女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见义勇为牺牲人员的子女，见义勇为伤残且伤残等级为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  <w:sz w:val="32"/>
                <w:szCs w:val="32"/>
                <w:highlight w:val="none"/>
                <w:lang w:val="en-US" w:eastAsia="zh-CN" w:bidi="ar"/>
              </w:rPr>
              <w:t>1—4级的人员或子女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海南省农村独生子女户、纯二女结扎户的子女</w:t>
            </w:r>
          </w:p>
        </w:tc>
        <w:tc>
          <w:tcPr>
            <w:tcW w:w="10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  <w:tc>
          <w:tcPr>
            <w:tcW w:w="16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2"/>
                <w:szCs w:val="32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65225"/>
    <w:rsid w:val="1606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character" w:customStyle="1" w:styleId="5">
    <w:name w:val="font11"/>
    <w:basedOn w:val="4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定安县（定城镇）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2025-06-11T08:00:00Z</dcterms:created>
  <dc:creator>招生办</dc:creator>
  <cp:lastModifiedBy>招生办</cp:lastModifiedBy>
  <dcterms:modified xsi:type="dcterms:W3CDTF">2025-06-11T08:00:50Z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