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E356A">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保亭黎族苗族自治县保城镇中心幼儿园2024年度部门决算公开报告</w:t>
      </w:r>
    </w:p>
    <w:p w14:paraId="1E8F4CF7">
      <w:pPr>
        <w:spacing w:line="578" w:lineRule="exact"/>
        <w:jc w:val="center"/>
        <w:rPr>
          <w:rFonts w:hint="eastAsia" w:asciiTheme="majorEastAsia" w:hAnsiTheme="majorEastAsia" w:eastAsiaTheme="majorEastAsia" w:cstheme="majorEastAsia"/>
          <w:b/>
          <w:bCs/>
          <w:sz w:val="44"/>
          <w:szCs w:val="44"/>
        </w:rPr>
      </w:pPr>
    </w:p>
    <w:p w14:paraId="6C2B2D3A">
      <w:pPr>
        <w:spacing w:line="578" w:lineRule="exact"/>
        <w:jc w:val="center"/>
        <w:rPr>
          <w:rFonts w:hint="eastAsia" w:ascii="黑体" w:hAnsi="ˎ̥" w:eastAsia="黑体"/>
          <w:b/>
          <w:sz w:val="32"/>
          <w:szCs w:val="32"/>
        </w:rPr>
      </w:pPr>
    </w:p>
    <w:p w14:paraId="6A8F1018">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6A2F743B">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29CBFE79">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_Toc20274_WPSOffice_Level2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一、部门（单位）职责</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14:paraId="09089809">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_Toc4833_WPSOffice_Level2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二、机构设置</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14:paraId="3B013F23">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_Toc28253_WPSOffice_Level1 </w:instrText>
      </w:r>
      <w:r>
        <w:rPr>
          <w:color w:val="auto"/>
          <w:sz w:val="32"/>
          <w:szCs w:val="32"/>
        </w:rPr>
        <w:fldChar w:fldCharType="separate"/>
      </w: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年度部门决算公开表</w:t>
      </w:r>
      <w:r>
        <w:rPr>
          <w:color w:val="auto"/>
          <w:sz w:val="32"/>
          <w:szCs w:val="32"/>
        </w:rPr>
        <w:tab/>
      </w:r>
      <w:r>
        <w:rPr>
          <w:color w:val="auto"/>
          <w:sz w:val="32"/>
          <w:szCs w:val="32"/>
        </w:rPr>
        <w:fldChar w:fldCharType="end"/>
      </w:r>
      <w:r>
        <w:rPr>
          <w:rFonts w:hint="eastAsia"/>
          <w:color w:val="auto"/>
          <w:sz w:val="32"/>
          <w:szCs w:val="32"/>
        </w:rPr>
        <w:t>2</w:t>
      </w:r>
    </w:p>
    <w:p w14:paraId="6E57563D">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_Toc27590_WPSOffice_Level1 </w:instrText>
      </w:r>
      <w:r>
        <w:rPr>
          <w:color w:val="auto"/>
          <w:sz w:val="32"/>
          <w:szCs w:val="32"/>
        </w:rPr>
        <w:fldChar w:fldCharType="separate"/>
      </w:r>
      <w:r>
        <w:rPr>
          <w:rFonts w:hint="eastAsia" w:ascii="黑体" w:hAnsi="黑体" w:eastAsia="黑体" w:cs="黑体"/>
          <w:color w:val="auto"/>
          <w:sz w:val="32"/>
          <w:szCs w:val="32"/>
        </w:rPr>
        <w:t>第三部分</w:t>
      </w:r>
      <w:r>
        <w:rPr>
          <w:rFonts w:hint="eastAsia"/>
          <w:color w:val="auto"/>
          <w:sz w:val="32"/>
          <w:szCs w:val="32"/>
        </w:rPr>
        <w:t xml:space="preserve">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r>
        <w:rPr>
          <w:color w:val="auto"/>
          <w:sz w:val="32"/>
          <w:szCs w:val="32"/>
        </w:rPr>
        <w:tab/>
      </w:r>
      <w:r>
        <w:rPr>
          <w:color w:val="auto"/>
          <w:sz w:val="32"/>
          <w:szCs w:val="32"/>
        </w:rPr>
        <w:fldChar w:fldCharType="end"/>
      </w:r>
      <w:r>
        <w:rPr>
          <w:rFonts w:hint="eastAsia"/>
          <w:color w:val="auto"/>
          <w:sz w:val="32"/>
          <w:szCs w:val="32"/>
        </w:rPr>
        <w:t>3</w:t>
      </w:r>
    </w:p>
    <w:p w14:paraId="65C40179">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_Toc21737_WPSOffice_Level2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一、收入支出总体情况说明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3</w:t>
      </w:r>
    </w:p>
    <w:p w14:paraId="4BD7D57F">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二、收入决算情况说明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0C54764D">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三、支出决算情况说明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51FC70A3">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四、财政拨款收入支出决算</w:t>
      </w:r>
      <w:r>
        <w:rPr>
          <w:rFonts w:hint="eastAsia" w:ascii="仿宋" w:hAnsi="仿宋" w:eastAsia="仿宋" w:cs="仿宋"/>
          <w:bCs/>
          <w:color w:val="auto"/>
          <w:sz w:val="32"/>
          <w:szCs w:val="32"/>
          <w:lang w:val="en-US" w:eastAsia="zh-CN"/>
        </w:rPr>
        <w:t>总体</w:t>
      </w:r>
      <w:r>
        <w:rPr>
          <w:rFonts w:hint="eastAsia" w:ascii="仿宋" w:hAnsi="仿宋" w:eastAsia="仿宋" w:cs="仿宋"/>
          <w:bCs/>
          <w:color w:val="auto"/>
          <w:sz w:val="32"/>
          <w:szCs w:val="32"/>
        </w:rPr>
        <w:t>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7A0C8420">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五、一般公共预算财政拨款支出决算情况说明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5</w:t>
      </w:r>
    </w:p>
    <w:p w14:paraId="0F3513AE">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六、一般公共预算财政拨款基本支出决算情况说明</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ab/>
      </w:r>
      <w:r>
        <w:rPr>
          <w:rFonts w:hint="eastAsia" w:ascii="仿宋" w:hAnsi="仿宋" w:eastAsia="仿宋" w:cs="仿宋"/>
          <w:color w:val="auto"/>
          <w:sz w:val="32"/>
          <w:szCs w:val="32"/>
        </w:rPr>
        <w:t>6</w:t>
      </w:r>
    </w:p>
    <w:p w14:paraId="14C271AC">
      <w:pPr>
        <w:pStyle w:val="16"/>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政府性基金预算财政拨款支出决算情况说明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7</w:t>
      </w:r>
    </w:p>
    <w:p w14:paraId="341B0484">
      <w:pPr>
        <w:pStyle w:val="16"/>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国有资本经营预算财政拨款支出决算情况说明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8</w:t>
      </w:r>
    </w:p>
    <w:p w14:paraId="4A5010BD">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九、财政拨款“三公”经费支出决算情况说明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9</w:t>
      </w:r>
    </w:p>
    <w:p w14:paraId="23F091F4">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十、预算绩效情况说明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11</w:t>
      </w:r>
    </w:p>
    <w:p w14:paraId="11226842">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十一、其他重要事项情况说明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13</w:t>
      </w:r>
    </w:p>
    <w:p w14:paraId="1704E608">
      <w:pPr>
        <w:pStyle w:val="15"/>
        <w:tabs>
          <w:tab w:val="right" w:leader="dot" w:pos="8306"/>
        </w:tabs>
        <w:spacing w:line="578" w:lineRule="exact"/>
        <w:rPr>
          <w:rFonts w:hint="eastAsia" w:ascii="黑体" w:hAnsi="ˎ̥"/>
          <w:b/>
          <w:color w:val="auto"/>
          <w:sz w:val="32"/>
          <w:szCs w:val="32"/>
        </w:rPr>
      </w:pPr>
      <w:r>
        <w:rPr>
          <w:color w:val="auto"/>
          <w:sz w:val="32"/>
          <w:szCs w:val="32"/>
        </w:rPr>
        <w:fldChar w:fldCharType="begin"/>
      </w:r>
      <w:r>
        <w:rPr>
          <w:color w:val="auto"/>
          <w:sz w:val="32"/>
          <w:szCs w:val="32"/>
        </w:rPr>
        <w:instrText xml:space="preserve"> HYPERLINK \l _Toc15425_WPSOffice_Level1 </w:instrText>
      </w:r>
      <w:r>
        <w:rPr>
          <w:color w:val="auto"/>
          <w:sz w:val="32"/>
          <w:szCs w:val="32"/>
        </w:rPr>
        <w:fldChar w:fldCharType="separate"/>
      </w:r>
      <w:r>
        <w:rPr>
          <w:rFonts w:hint="eastAsia" w:ascii="黑体" w:hAnsi="ˎ̥" w:eastAsia="黑体"/>
          <w:color w:val="auto"/>
          <w:sz w:val="32"/>
          <w:szCs w:val="32"/>
        </w:rPr>
        <w:t>第四部分  名词解释</w:t>
      </w:r>
      <w:r>
        <w:rPr>
          <w:color w:val="auto"/>
          <w:sz w:val="32"/>
          <w:szCs w:val="32"/>
        </w:rPr>
        <w:tab/>
      </w:r>
      <w:bookmarkStart w:id="1" w:name="_Toc15425_WPSOffice_Level1Page"/>
      <w:r>
        <w:rPr>
          <w:color w:val="auto"/>
          <w:sz w:val="32"/>
          <w:szCs w:val="32"/>
        </w:rPr>
        <w:t>1</w:t>
      </w:r>
      <w:bookmarkEnd w:id="1"/>
      <w:r>
        <w:rPr>
          <w:color w:val="auto"/>
          <w:sz w:val="32"/>
          <w:szCs w:val="32"/>
        </w:rPr>
        <w:fldChar w:fldCharType="end"/>
      </w:r>
      <w:bookmarkEnd w:id="0"/>
      <w:r>
        <w:rPr>
          <w:rFonts w:hint="eastAsia"/>
          <w:color w:val="auto"/>
          <w:sz w:val="32"/>
          <w:szCs w:val="32"/>
        </w:rPr>
        <w:t>5</w:t>
      </w:r>
    </w:p>
    <w:p w14:paraId="4EC8D6DA">
      <w:pPr>
        <w:spacing w:line="578" w:lineRule="exact"/>
        <w:jc w:val="both"/>
        <w:rPr>
          <w:rFonts w:hint="eastAsia" w:ascii="黑体" w:hAnsi="ˎ̥" w:eastAsia="黑体"/>
          <w:color w:val="auto"/>
          <w:sz w:val="32"/>
          <w:szCs w:val="32"/>
        </w:rPr>
      </w:pPr>
      <w:bookmarkStart w:id="2" w:name="_Toc22941_WPSOffice_Level1"/>
      <w:bookmarkStart w:id="3" w:name="_Toc1704_WPSOffice_Level1"/>
      <w:bookmarkStart w:id="4" w:name="_Toc10049_WPSOffice_Level1"/>
      <w:bookmarkStart w:id="5" w:name="_Toc32433_WPSOffice_Level1"/>
      <w:bookmarkStart w:id="6" w:name="_Toc23465_WPSOffice_Level1"/>
      <w:bookmarkStart w:id="7" w:name="_Toc10720_WPSOffice_Level1"/>
      <w:bookmarkStart w:id="8" w:name="_Toc24238_WPSOffice_Level2"/>
      <w:bookmarkStart w:id="9" w:name="_Toc20205_WPSOffice_Level2"/>
      <w:bookmarkStart w:id="10" w:name="_Toc20274_WPSOffice_Level2"/>
      <w:bookmarkStart w:id="11" w:name="_Toc26580_WPSOffice_Level2"/>
      <w:bookmarkStart w:id="12" w:name="_Toc32622_WPSOffice_Level2"/>
      <w:bookmarkStart w:id="13" w:name="_Toc14159_WPSOffice_Level2"/>
    </w:p>
    <w:p w14:paraId="13495E08">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第一部分  </w:t>
      </w:r>
      <w:bookmarkEnd w:id="2"/>
      <w:bookmarkEnd w:id="3"/>
      <w:bookmarkEnd w:id="4"/>
      <w:bookmarkEnd w:id="5"/>
      <w:bookmarkEnd w:id="6"/>
      <w:bookmarkEnd w:id="7"/>
      <w:r>
        <w:rPr>
          <w:rFonts w:hint="eastAsia" w:ascii="黑体" w:hAnsi="ˎ̥" w:eastAsia="黑体"/>
          <w:color w:val="auto"/>
          <w:sz w:val="32"/>
          <w:szCs w:val="32"/>
        </w:rPr>
        <w:t>基本情况</w:t>
      </w:r>
    </w:p>
    <w:p w14:paraId="59DE4DDD">
      <w:pPr>
        <w:spacing w:line="578" w:lineRule="exact"/>
        <w:ind w:firstLine="640" w:firstLineChars="200"/>
        <w:rPr>
          <w:rFonts w:hint="eastAsia" w:ascii="楷体" w:hAnsi="楷体" w:eastAsia="楷体" w:cs="楷体"/>
          <w:color w:val="auto"/>
          <w:sz w:val="32"/>
          <w:szCs w:val="32"/>
        </w:rPr>
      </w:pPr>
    </w:p>
    <w:p w14:paraId="4A3D8885">
      <w:p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一、部门</w:t>
      </w:r>
      <w:bookmarkEnd w:id="8"/>
      <w:r>
        <w:rPr>
          <w:rFonts w:hint="eastAsia" w:ascii="黑体" w:hAnsi="黑体" w:eastAsia="黑体" w:cs="黑体"/>
          <w:color w:val="auto"/>
          <w:sz w:val="32"/>
          <w:szCs w:val="32"/>
        </w:rPr>
        <w:t>（单位）职责</w:t>
      </w:r>
      <w:bookmarkEnd w:id="9"/>
      <w:bookmarkEnd w:id="10"/>
      <w:bookmarkEnd w:id="11"/>
      <w:bookmarkEnd w:id="12"/>
      <w:bookmarkEnd w:id="13"/>
    </w:p>
    <w:p w14:paraId="364C679A">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（一）保亭黎族苗族自治县保城镇中心幼儿园为隶属县教育局管理的不定规格公益二类</w:t>
      </w:r>
      <w:r>
        <w:rPr>
          <w:rFonts w:hint="eastAsia" w:ascii="仿宋" w:hAnsi="仿宋" w:eastAsia="仿宋" w:cs="仿宋"/>
          <w:color w:val="auto"/>
          <w:sz w:val="32"/>
          <w:szCs w:val="32"/>
          <w:lang w:val="en-US" w:eastAsia="zh-CN"/>
        </w:rPr>
        <w:t>事业</w:t>
      </w:r>
      <w:r>
        <w:rPr>
          <w:rFonts w:hint="eastAsia" w:ascii="仿宋" w:hAnsi="仿宋" w:eastAsia="仿宋" w:cs="仿宋"/>
          <w:color w:val="auto"/>
          <w:sz w:val="32"/>
          <w:szCs w:val="32"/>
        </w:rPr>
        <w:t>单位，负责从事保城</w:t>
      </w:r>
      <w:r>
        <w:rPr>
          <w:rFonts w:hint="eastAsia" w:ascii="仿宋" w:hAnsi="仿宋" w:eastAsia="仿宋" w:cs="仿宋"/>
          <w:color w:val="auto"/>
          <w:sz w:val="32"/>
          <w:szCs w:val="32"/>
          <w:lang w:val="en-US" w:eastAsia="zh-CN"/>
        </w:rPr>
        <w:t>镇</w:t>
      </w:r>
      <w:r>
        <w:rPr>
          <w:rFonts w:hint="eastAsia" w:ascii="仿宋" w:hAnsi="仿宋" w:eastAsia="仿宋" w:cs="仿宋"/>
          <w:color w:val="auto"/>
          <w:sz w:val="32"/>
          <w:szCs w:val="32"/>
        </w:rPr>
        <w:t>辖区内的学前教育工作。</w:t>
      </w:r>
    </w:p>
    <w:p w14:paraId="4DA7DCF2">
      <w:pPr>
        <w:spacing w:line="578" w:lineRule="exact"/>
        <w:ind w:firstLine="640" w:firstLineChars="200"/>
        <w:rPr>
          <w:rFonts w:hint="eastAsia" w:ascii="黑体" w:hAnsi="黑体" w:eastAsia="黑体" w:cs="黑体"/>
          <w:color w:val="auto"/>
          <w:sz w:val="32"/>
          <w:szCs w:val="32"/>
        </w:rPr>
      </w:pPr>
      <w:r>
        <w:rPr>
          <w:rFonts w:hint="eastAsia" w:ascii="仿宋" w:hAnsi="仿宋" w:eastAsia="仿宋" w:cs="仿宋"/>
          <w:color w:val="auto"/>
          <w:sz w:val="32"/>
          <w:szCs w:val="32"/>
        </w:rPr>
        <w:t>（二）尊重幼儿身心发展的特点和规律，合理组织幼儿一日生活和其他活动，促进幼儿德智体美等和谐发展。</w:t>
      </w:r>
    </w:p>
    <w:p w14:paraId="0680DACE">
      <w:pPr>
        <w:spacing w:line="578" w:lineRule="exact"/>
        <w:ind w:firstLine="640" w:firstLineChars="200"/>
        <w:rPr>
          <w:rFonts w:hint="eastAsia" w:ascii="黑体" w:hAnsi="黑体" w:eastAsia="黑体" w:cs="黑体"/>
          <w:color w:val="auto"/>
          <w:sz w:val="32"/>
          <w:szCs w:val="32"/>
        </w:rPr>
      </w:pPr>
      <w:bookmarkStart w:id="14" w:name="_Toc6572_WPSOffice_Level2"/>
      <w:bookmarkStart w:id="15" w:name="_Toc24059_WPSOffice_Level2"/>
      <w:bookmarkStart w:id="16" w:name="_Toc24474_WPSOffice_Level2"/>
      <w:bookmarkStart w:id="17" w:name="_Toc17796_WPSOffice_Level2"/>
      <w:bookmarkStart w:id="18" w:name="_Toc4833_WPSOffice_Level2"/>
      <w:r>
        <w:rPr>
          <w:rFonts w:hint="eastAsia" w:ascii="黑体" w:hAnsi="黑体" w:eastAsia="黑体" w:cs="黑体"/>
          <w:color w:val="auto"/>
          <w:sz w:val="32"/>
          <w:szCs w:val="32"/>
        </w:rPr>
        <w:t>二、机构设置</w:t>
      </w:r>
      <w:bookmarkEnd w:id="14"/>
      <w:bookmarkEnd w:id="15"/>
      <w:bookmarkEnd w:id="16"/>
      <w:bookmarkEnd w:id="17"/>
      <w:bookmarkEnd w:id="18"/>
    </w:p>
    <w:p w14:paraId="149848A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仿宋_GB2312" w:hAnsi="ˎ̥" w:eastAsia="仿宋_GB2312"/>
          <w:color w:val="0000FF"/>
          <w:sz w:val="32"/>
          <w:szCs w:val="32"/>
        </w:rPr>
      </w:pPr>
      <w:bookmarkStart w:id="19" w:name="_Toc28253_WPSOffice_Level1"/>
      <w:bookmarkStart w:id="20" w:name="_Toc30690_WPSOffice_Level1"/>
      <w:bookmarkStart w:id="21" w:name="_Toc15521_WPSOffice_Level1"/>
      <w:bookmarkStart w:id="22" w:name="_Toc8164_WPSOffice_Level1"/>
      <w:bookmarkStart w:id="23" w:name="_Toc6234_WPSOffice_Level1"/>
      <w:bookmarkStart w:id="24" w:name="_Toc30451_WPSOffice_Level1"/>
      <w:bookmarkStart w:id="25" w:name="_Toc32695_WPSOffice_Level2"/>
      <w:bookmarkStart w:id="26" w:name="_Toc11518_WPSOffice_Level2"/>
      <w:bookmarkStart w:id="27" w:name="_Toc32472_WPSOffice_Level2"/>
      <w:bookmarkStart w:id="28" w:name="_Toc4029_WPSOffice_Level2"/>
      <w:bookmarkStart w:id="29" w:name="_Toc6211_WPSOffice_Level2"/>
      <w:bookmarkStart w:id="30" w:name="_Toc8867_WPSOffice_Level2"/>
      <w:r>
        <w:rPr>
          <w:rFonts w:hint="eastAsia" w:ascii="仿宋_GB2312" w:hAnsi="ˎ̥" w:eastAsia="仿宋_GB2312"/>
          <w:color w:val="0000FF"/>
          <w:sz w:val="32"/>
          <w:szCs w:val="32"/>
        </w:rPr>
        <w:t>纳入保亭黎族苗族自治县保城镇中心幼儿园202</w:t>
      </w:r>
      <w:r>
        <w:rPr>
          <w:rFonts w:hint="eastAsia" w:ascii="仿宋_GB2312" w:hAnsi="ˎ̥" w:eastAsia="仿宋_GB2312"/>
          <w:color w:val="0000FF"/>
          <w:sz w:val="32"/>
          <w:szCs w:val="32"/>
          <w:lang w:val="en-US" w:eastAsia="zh-CN"/>
        </w:rPr>
        <w:t>4</w:t>
      </w:r>
      <w:r>
        <w:rPr>
          <w:rFonts w:hint="eastAsia" w:ascii="仿宋_GB2312" w:hAnsi="ˎ̥" w:eastAsia="仿宋_GB2312"/>
          <w:color w:val="0000FF"/>
          <w:sz w:val="32"/>
          <w:szCs w:val="32"/>
        </w:rPr>
        <w:t>年度部门决算编制范围只有保亭黎族苗族自治县保城镇中心幼儿园本级。</w:t>
      </w:r>
    </w:p>
    <w:p w14:paraId="019BB1D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仿宋_GB2312" w:hAnsi="ˎ̥" w:eastAsia="仿宋_GB2312"/>
          <w:color w:val="auto"/>
          <w:sz w:val="32"/>
          <w:szCs w:val="32"/>
        </w:rPr>
      </w:pPr>
    </w:p>
    <w:p w14:paraId="5ABA64D5">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年度部门决算公开报表</w:t>
      </w:r>
      <w:bookmarkEnd w:id="19"/>
      <w:bookmarkEnd w:id="20"/>
      <w:bookmarkEnd w:id="21"/>
      <w:bookmarkEnd w:id="22"/>
      <w:bookmarkEnd w:id="23"/>
      <w:bookmarkEnd w:id="24"/>
    </w:p>
    <w:p w14:paraId="1A7D1292">
      <w:pPr>
        <w:spacing w:line="578" w:lineRule="exact"/>
        <w:ind w:firstLine="645"/>
        <w:rPr>
          <w:rFonts w:hint="eastAsia" w:ascii="黑体" w:hAnsi="黑体" w:eastAsia="黑体" w:cs="黑体"/>
          <w:color w:val="auto"/>
          <w:sz w:val="32"/>
          <w:szCs w:val="32"/>
        </w:rPr>
      </w:pPr>
    </w:p>
    <w:p w14:paraId="4609FEC3">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一、收入支出决算公开表</w:t>
      </w:r>
      <w:bookmarkEnd w:id="25"/>
      <w:bookmarkEnd w:id="26"/>
      <w:bookmarkEnd w:id="27"/>
      <w:bookmarkEnd w:id="28"/>
      <w:bookmarkEnd w:id="29"/>
      <w:bookmarkEnd w:id="30"/>
    </w:p>
    <w:p w14:paraId="646AEC68">
      <w:pPr>
        <w:spacing w:line="578" w:lineRule="exact"/>
        <w:ind w:firstLine="645"/>
        <w:rPr>
          <w:rFonts w:hint="eastAsia" w:ascii="黑体" w:hAnsi="黑体" w:eastAsia="黑体" w:cs="黑体"/>
          <w:color w:val="auto"/>
          <w:sz w:val="32"/>
          <w:szCs w:val="32"/>
        </w:rPr>
      </w:pPr>
      <w:bookmarkStart w:id="31" w:name="_Toc25608_WPSOffice_Level2"/>
      <w:bookmarkStart w:id="32" w:name="_Toc23139_WPSOffice_Level2"/>
      <w:bookmarkStart w:id="33" w:name="_Toc30334_WPSOffice_Level2"/>
      <w:bookmarkStart w:id="34" w:name="_Toc28622_WPSOffice_Level2"/>
      <w:bookmarkStart w:id="35" w:name="_Toc14349_WPSOffice_Level2"/>
      <w:bookmarkStart w:id="36" w:name="_Toc26621_WPSOffice_Level2"/>
      <w:r>
        <w:rPr>
          <w:rFonts w:hint="eastAsia" w:ascii="黑体" w:hAnsi="黑体" w:eastAsia="黑体" w:cs="黑体"/>
          <w:color w:val="auto"/>
          <w:sz w:val="32"/>
          <w:szCs w:val="32"/>
        </w:rPr>
        <w:t>二、收入决算公开表</w:t>
      </w:r>
      <w:bookmarkEnd w:id="31"/>
      <w:bookmarkEnd w:id="32"/>
      <w:bookmarkEnd w:id="33"/>
      <w:bookmarkEnd w:id="34"/>
      <w:bookmarkEnd w:id="35"/>
      <w:bookmarkEnd w:id="36"/>
      <w:bookmarkStart w:id="37" w:name="_Toc5489_WPSOffice_Level2"/>
      <w:bookmarkStart w:id="38" w:name="_Toc14658_WPSOffice_Level2"/>
      <w:bookmarkStart w:id="39" w:name="_Toc13854_WPSOffice_Level2"/>
      <w:bookmarkStart w:id="40" w:name="_Toc17626_WPSOffice_Level2"/>
      <w:bookmarkStart w:id="41" w:name="_Toc3262_WPSOffice_Level2"/>
      <w:bookmarkStart w:id="42" w:name="_Toc17858_WPSOffice_Level2"/>
    </w:p>
    <w:p w14:paraId="2D43FEAF">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三、支出决算公开表</w:t>
      </w:r>
      <w:bookmarkEnd w:id="37"/>
      <w:bookmarkEnd w:id="38"/>
      <w:bookmarkEnd w:id="39"/>
      <w:bookmarkEnd w:id="40"/>
      <w:bookmarkEnd w:id="41"/>
      <w:bookmarkEnd w:id="42"/>
      <w:bookmarkStart w:id="43" w:name="_Toc21415_WPSOffice_Level2"/>
      <w:bookmarkStart w:id="44" w:name="_Toc23493_WPSOffice_Level2"/>
      <w:bookmarkStart w:id="45" w:name="_Toc4265_WPSOffice_Level2"/>
      <w:bookmarkStart w:id="46" w:name="_Toc7988_WPSOffice_Level2"/>
      <w:bookmarkStart w:id="47" w:name="_Toc13701_WPSOffice_Level2"/>
      <w:bookmarkStart w:id="48" w:name="_Toc23591_WPSOffice_Level2"/>
    </w:p>
    <w:p w14:paraId="466CE0B2">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四、财政拨款收入支出决算公开表</w:t>
      </w:r>
      <w:bookmarkEnd w:id="43"/>
      <w:bookmarkEnd w:id="44"/>
      <w:bookmarkEnd w:id="45"/>
      <w:bookmarkEnd w:id="46"/>
      <w:bookmarkEnd w:id="47"/>
      <w:bookmarkEnd w:id="48"/>
    </w:p>
    <w:p w14:paraId="1CA1AAB7">
      <w:pPr>
        <w:spacing w:line="578" w:lineRule="exact"/>
        <w:ind w:firstLine="645"/>
        <w:rPr>
          <w:rFonts w:hint="eastAsia" w:ascii="黑体" w:hAnsi="黑体" w:eastAsia="黑体" w:cs="黑体"/>
          <w:color w:val="auto"/>
          <w:sz w:val="32"/>
          <w:szCs w:val="32"/>
        </w:rPr>
      </w:pPr>
      <w:bookmarkStart w:id="49" w:name="_Toc22783_WPSOffice_Level2"/>
      <w:bookmarkStart w:id="50" w:name="_Toc23829_WPSOffice_Level2"/>
      <w:bookmarkStart w:id="51" w:name="_Toc25166_WPSOffice_Level2"/>
      <w:bookmarkStart w:id="52" w:name="_Toc7879_WPSOffice_Level2"/>
      <w:bookmarkStart w:id="53" w:name="_Toc2158_WPSOffice_Level2"/>
      <w:bookmarkStart w:id="54" w:name="_Toc13516_WPSOffice_Level2"/>
      <w:r>
        <w:rPr>
          <w:rFonts w:hint="eastAsia" w:ascii="黑体" w:hAnsi="黑体" w:eastAsia="黑体" w:cs="黑体"/>
          <w:color w:val="auto"/>
          <w:sz w:val="32"/>
          <w:szCs w:val="32"/>
        </w:rPr>
        <w:t>五、一般公共预算财政拨款收入支出决算</w:t>
      </w:r>
      <w:bookmarkEnd w:id="49"/>
      <w:bookmarkEnd w:id="50"/>
      <w:bookmarkEnd w:id="51"/>
      <w:bookmarkEnd w:id="52"/>
      <w:r>
        <w:rPr>
          <w:rFonts w:hint="eastAsia" w:ascii="黑体" w:hAnsi="黑体" w:eastAsia="黑体" w:cs="黑体"/>
          <w:color w:val="auto"/>
          <w:sz w:val="32"/>
          <w:szCs w:val="32"/>
        </w:rPr>
        <w:t>公开表</w:t>
      </w:r>
      <w:bookmarkEnd w:id="53"/>
      <w:bookmarkEnd w:id="54"/>
      <w:bookmarkStart w:id="55" w:name="_Toc25362_WPSOffice_Level2"/>
      <w:bookmarkStart w:id="56" w:name="_Toc17283_WPSOffice_Level2"/>
      <w:bookmarkStart w:id="57" w:name="_Toc5343_WPSOffice_Level2"/>
      <w:bookmarkStart w:id="58" w:name="_Toc8373_WPSOffice_Level2"/>
      <w:bookmarkStart w:id="59" w:name="_Toc2632_WPSOffice_Level2"/>
      <w:bookmarkStart w:id="60" w:name="_Toc17833_WPSOffice_Level2"/>
    </w:p>
    <w:p w14:paraId="163493D2">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color w:val="auto"/>
          <w:sz w:val="32"/>
          <w:szCs w:val="32"/>
        </w:rPr>
        <w:t>公开表</w:t>
      </w:r>
    </w:p>
    <w:p w14:paraId="11250B0D">
      <w:pPr>
        <w:spacing w:line="578" w:lineRule="exact"/>
        <w:ind w:left="1118" w:leftChars="304" w:hanging="480" w:hangingChars="150"/>
        <w:rPr>
          <w:rFonts w:hint="eastAsia" w:ascii="黑体" w:hAnsi="黑体" w:eastAsia="黑体" w:cs="黑体"/>
          <w:color w:val="auto"/>
          <w:sz w:val="32"/>
          <w:szCs w:val="32"/>
        </w:rPr>
      </w:pPr>
      <w:bookmarkStart w:id="61" w:name="_Toc5594_WPSOffice_Level2"/>
      <w:bookmarkStart w:id="62" w:name="_Toc13345_WPSOffice_Level2"/>
      <w:bookmarkStart w:id="63" w:name="_Toc1533_WPSOffice_Level2"/>
      <w:bookmarkStart w:id="64" w:name="_Toc11799_WPSOffice_Level2"/>
      <w:bookmarkStart w:id="65" w:name="_Toc21310_WPSOffice_Level2"/>
      <w:bookmarkStart w:id="66" w:name="_Toc6020_WPSOffice_Level2"/>
      <w:r>
        <w:rPr>
          <w:rFonts w:hint="eastAsia" w:ascii="黑体" w:hAnsi="黑体" w:eastAsia="黑体" w:cs="黑体"/>
          <w:color w:val="auto"/>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color w:val="auto"/>
          <w:sz w:val="32"/>
          <w:szCs w:val="32"/>
        </w:rPr>
        <w:t>公开表</w:t>
      </w:r>
    </w:p>
    <w:p w14:paraId="33B6C1DC">
      <w:pPr>
        <w:spacing w:line="578" w:lineRule="exact"/>
        <w:ind w:left="1118" w:leftChars="304" w:hanging="480" w:hangingChars="150"/>
        <w:rPr>
          <w:rFonts w:hint="eastAsia" w:ascii="黑体" w:hAnsi="黑体" w:eastAsia="黑体" w:cs="黑体"/>
          <w:color w:val="auto"/>
          <w:sz w:val="32"/>
          <w:szCs w:val="32"/>
        </w:rPr>
      </w:pPr>
      <w:r>
        <w:rPr>
          <w:rFonts w:hint="eastAsia" w:ascii="黑体" w:hAnsi="黑体" w:eastAsia="黑体" w:cs="黑体"/>
          <w:color w:val="auto"/>
          <w:sz w:val="32"/>
          <w:szCs w:val="32"/>
        </w:rPr>
        <w:t>八、国有资本经营预算财政拨款收入支出决算公开表</w:t>
      </w:r>
    </w:p>
    <w:p w14:paraId="6225979D">
      <w:pPr>
        <w:spacing w:line="578" w:lineRule="exact"/>
        <w:ind w:firstLine="640"/>
        <w:rPr>
          <w:rFonts w:hint="eastAsia" w:ascii="黑体" w:hAnsi="黑体" w:eastAsia="黑体" w:cs="黑体"/>
          <w:color w:val="auto"/>
          <w:sz w:val="32"/>
          <w:szCs w:val="32"/>
        </w:rPr>
      </w:pPr>
      <w:bookmarkStart w:id="67" w:name="_Toc9377_WPSOffice_Level2"/>
      <w:bookmarkStart w:id="68" w:name="_Toc29886_WPSOffice_Level2"/>
      <w:bookmarkStart w:id="69" w:name="_Toc19961_WPSOffice_Level2"/>
      <w:bookmarkStart w:id="70" w:name="_Toc1820_WPSOffice_Level2"/>
      <w:r>
        <w:rPr>
          <w:rFonts w:hint="eastAsia" w:ascii="黑体" w:hAnsi="黑体" w:eastAsia="黑体" w:cs="黑体"/>
          <w:color w:val="auto"/>
          <w:sz w:val="32"/>
          <w:szCs w:val="32"/>
        </w:rPr>
        <w:t>九、财政拨款“三公”经费支出决算</w:t>
      </w:r>
      <w:bookmarkEnd w:id="67"/>
      <w:bookmarkEnd w:id="68"/>
      <w:bookmarkEnd w:id="69"/>
      <w:bookmarkEnd w:id="70"/>
      <w:r>
        <w:rPr>
          <w:rFonts w:hint="eastAsia" w:ascii="黑体" w:hAnsi="黑体" w:eastAsia="黑体" w:cs="黑体"/>
          <w:color w:val="auto"/>
          <w:sz w:val="32"/>
          <w:szCs w:val="32"/>
        </w:rPr>
        <w:t>公开表</w:t>
      </w:r>
    </w:p>
    <w:p w14:paraId="752E8721">
      <w:pPr>
        <w:spacing w:line="578" w:lineRule="exact"/>
        <w:ind w:firstLine="640"/>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xml:space="preserve">以上报表见附件1。   </w:t>
      </w:r>
    </w:p>
    <w:p w14:paraId="5B482E07">
      <w:pPr>
        <w:spacing w:line="578" w:lineRule="exact"/>
        <w:rPr>
          <w:rFonts w:hint="eastAsia" w:ascii="黑体" w:hAnsi="黑体" w:eastAsia="黑体" w:cs="黑体"/>
          <w:color w:val="auto"/>
          <w:sz w:val="32"/>
          <w:szCs w:val="32"/>
        </w:rPr>
      </w:pPr>
    </w:p>
    <w:p w14:paraId="31BF6332">
      <w:pPr>
        <w:spacing w:line="578" w:lineRule="exact"/>
        <w:jc w:val="center"/>
        <w:rPr>
          <w:rFonts w:hint="eastAsia" w:ascii="黑体" w:hAnsi="ˎ̥" w:eastAsia="黑体"/>
          <w:color w:val="auto"/>
          <w:sz w:val="32"/>
          <w:szCs w:val="32"/>
        </w:rPr>
      </w:pPr>
      <w:bookmarkStart w:id="71" w:name="_Toc27590_WPSOffice_Level1"/>
      <w:bookmarkStart w:id="72" w:name="_Toc16686_WPSOffice_Level1"/>
      <w:bookmarkStart w:id="73" w:name="_Toc4402_WPSOffice_Level1"/>
      <w:bookmarkStart w:id="74" w:name="_Toc28629_WPSOffice_Level1"/>
      <w:bookmarkStart w:id="75" w:name="_Toc31264_WPSOffice_Level1"/>
      <w:bookmarkStart w:id="76" w:name="_Toc29683_WPSOffice_Level1"/>
      <w:r>
        <w:rPr>
          <w:rFonts w:hint="eastAsia" w:ascii="黑体" w:hAnsi="ˎ̥" w:eastAsia="黑体"/>
          <w:color w:val="auto"/>
          <w:sz w:val="32"/>
          <w:szCs w:val="32"/>
        </w:rPr>
        <w:t xml:space="preserve">第三部分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bookmarkEnd w:id="71"/>
      <w:bookmarkEnd w:id="72"/>
      <w:bookmarkEnd w:id="73"/>
      <w:bookmarkEnd w:id="74"/>
      <w:bookmarkEnd w:id="75"/>
      <w:bookmarkEnd w:id="76"/>
    </w:p>
    <w:p w14:paraId="0108672B">
      <w:pPr>
        <w:spacing w:line="578" w:lineRule="exact"/>
        <w:jc w:val="center"/>
        <w:rPr>
          <w:rFonts w:hint="eastAsia" w:ascii="黑体" w:hAnsi="ˎ̥" w:eastAsia="黑体"/>
          <w:color w:val="auto"/>
          <w:sz w:val="32"/>
          <w:szCs w:val="32"/>
        </w:rPr>
      </w:pPr>
    </w:p>
    <w:p w14:paraId="1051B5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黑体" w:hAnsi="黑体" w:eastAsia="黑体" w:cs="黑体"/>
          <w:bCs/>
          <w:color w:val="auto"/>
          <w:sz w:val="32"/>
          <w:szCs w:val="32"/>
        </w:rPr>
        <w:t>一、收入支出总体情况说明</w:t>
      </w:r>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default" w:ascii="仿宋_GB2312" w:hAnsi="ˎ̥" w:eastAsia="仿宋_GB2312"/>
          <w:color w:val="auto"/>
          <w:sz w:val="32"/>
          <w:szCs w:val="32"/>
          <w:lang w:val="en-US"/>
        </w:rPr>
        <w:t>984.95</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984.95</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年度相比，收入、支出总计各增加</w:t>
      </w:r>
      <w:r>
        <w:rPr>
          <w:rFonts w:hint="eastAsia" w:ascii="仿宋_GB2312" w:hAnsi="ˎ̥" w:eastAsia="仿宋_GB2312"/>
          <w:color w:val="auto"/>
          <w:sz w:val="32"/>
          <w:szCs w:val="32"/>
          <w:lang w:val="en-US" w:eastAsia="zh-CN"/>
        </w:rPr>
        <w:t>47.89</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5.12</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val="en-US" w:eastAsia="zh-CN"/>
        </w:rPr>
        <w:t>是增加了在2022年开工进行园所改造工程的尾款</w:t>
      </w:r>
      <w:r>
        <w:rPr>
          <w:rFonts w:hint="eastAsia" w:ascii="仿宋_GB2312" w:hAnsi="ˎ̥" w:eastAsia="仿宋_GB2312"/>
          <w:color w:val="auto"/>
          <w:sz w:val="32"/>
          <w:szCs w:val="32"/>
        </w:rPr>
        <w:t>。</w:t>
      </w:r>
    </w:p>
    <w:p w14:paraId="05B8AFD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596A4F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default" w:ascii="仿宋_GB2312" w:hAnsi="ˎ̥" w:eastAsia="仿宋_GB2312"/>
          <w:color w:val="auto"/>
          <w:sz w:val="32"/>
          <w:szCs w:val="32"/>
          <w:lang w:val="en-US"/>
        </w:rPr>
        <w:t>984.95</w:t>
      </w:r>
      <w:r>
        <w:rPr>
          <w:rFonts w:hint="eastAsia" w:ascii="仿宋_GB2312" w:hAnsi="ˎ̥" w:eastAsia="仿宋_GB2312"/>
          <w:color w:val="auto"/>
          <w:sz w:val="32"/>
          <w:szCs w:val="32"/>
        </w:rPr>
        <w:t>万元。</w:t>
      </w:r>
    </w:p>
    <w:p w14:paraId="3AB6C1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使用非财政拨款结余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14:paraId="5B2819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年初结转结余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14:paraId="74FADF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788E8B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984.95</w:t>
      </w:r>
      <w:r>
        <w:rPr>
          <w:rFonts w:hint="eastAsia" w:ascii="仿宋_GB2312" w:hAnsi="ˎ̥" w:eastAsia="仿宋_GB2312"/>
          <w:color w:val="auto"/>
          <w:sz w:val="32"/>
          <w:szCs w:val="32"/>
        </w:rPr>
        <w:t>万元。</w:t>
      </w:r>
    </w:p>
    <w:p w14:paraId="3826849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结余分配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14:paraId="33C8A05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年末结转结余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14:paraId="0F317C35">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本年收入</w:t>
      </w:r>
      <w:r>
        <w:rPr>
          <w:rFonts w:hint="default" w:ascii="仿宋_GB2312" w:hAnsi="ˎ̥" w:eastAsia="仿宋_GB2312"/>
          <w:color w:val="auto"/>
          <w:sz w:val="32"/>
          <w:szCs w:val="32"/>
          <w:lang w:val="en-US"/>
        </w:rPr>
        <w:t>984.95</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984.95</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5FF693E6">
      <w:pPr>
        <w:keepNext w:val="0"/>
        <w:keepLines w:val="0"/>
        <w:pageBreakBefore w:val="0"/>
        <w:widowControl w:val="0"/>
        <w:kinsoku/>
        <w:wordWrap/>
        <w:overflowPunct/>
        <w:topLinePunct w:val="0"/>
        <w:autoSpaceDE/>
        <w:autoSpaceDN/>
        <w:bidi w:val="0"/>
        <w:adjustRightInd/>
        <w:snapToGrid/>
        <w:spacing w:line="578" w:lineRule="exact"/>
        <w:ind w:left="412" w:leftChars="196"/>
        <w:textAlignment w:val="auto"/>
        <w:rPr>
          <w:rFonts w:hint="eastAsia" w:ascii="黑体" w:hAnsi="黑体" w:eastAsia="黑体" w:cs="黑体"/>
          <w:bCs/>
          <w:color w:val="auto"/>
          <w:sz w:val="32"/>
          <w:szCs w:val="32"/>
        </w:rPr>
      </w:pPr>
      <w:r>
        <w:rPr>
          <w:rFonts w:hint="eastAsia" w:ascii="仿宋_GB2312" w:hAnsi="ˎ̥" w:eastAsia="仿宋_GB2312"/>
          <w:color w:val="auto"/>
          <w:sz w:val="32"/>
          <w:szCs w:val="32"/>
        </w:rPr>
        <w:t xml:space="preserve">  </w:t>
      </w:r>
      <w:r>
        <w:rPr>
          <w:rFonts w:hint="eastAsia" w:ascii="黑体" w:hAnsi="黑体" w:eastAsia="黑体" w:cs="黑体"/>
          <w:bCs/>
          <w:color w:val="auto"/>
          <w:sz w:val="32"/>
          <w:szCs w:val="32"/>
        </w:rPr>
        <w:t>三、支出决算情况说明</w:t>
      </w:r>
    </w:p>
    <w:p w14:paraId="294101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984.95</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508.88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51.67</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476.07</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48.33</w:t>
      </w:r>
      <w:r>
        <w:rPr>
          <w:rFonts w:hint="eastAsia" w:ascii="仿宋_GB2312" w:hAnsi="ˎ̥" w:eastAsia="仿宋_GB2312"/>
          <w:color w:val="auto"/>
          <w:sz w:val="32"/>
          <w:szCs w:val="32"/>
        </w:rPr>
        <w:t>%。</w:t>
      </w:r>
    </w:p>
    <w:p w14:paraId="6EA146F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14:paraId="3CD7D4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default" w:ascii="仿宋_GB2312" w:hAnsi="ˎ̥" w:eastAsia="仿宋_GB2312"/>
          <w:color w:val="auto"/>
          <w:sz w:val="32"/>
          <w:szCs w:val="32"/>
          <w:lang w:val="en-US"/>
        </w:rPr>
        <w:t>984.95</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984.95</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年度相比，财政拨款收入增加</w:t>
      </w:r>
      <w:r>
        <w:rPr>
          <w:rFonts w:hint="eastAsia" w:ascii="仿宋_GB2312" w:hAnsi="ˎ̥" w:eastAsia="仿宋_GB2312"/>
          <w:color w:val="auto"/>
          <w:sz w:val="32"/>
          <w:szCs w:val="32"/>
          <w:lang w:val="en-US" w:eastAsia="zh-CN"/>
        </w:rPr>
        <w:t>47.96</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5.12</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val="en-US" w:eastAsia="zh-CN"/>
        </w:rPr>
        <w:t>是增加了在2022年开工进行园所改造工程的尾款</w:t>
      </w:r>
      <w:r>
        <w:rPr>
          <w:rFonts w:hint="eastAsia" w:ascii="仿宋_GB2312" w:hAnsi="ˎ̥" w:eastAsia="仿宋_GB2312"/>
          <w:color w:val="auto"/>
          <w:sz w:val="32"/>
          <w:szCs w:val="32"/>
        </w:rPr>
        <w:t>。支出增加</w:t>
      </w:r>
      <w:r>
        <w:rPr>
          <w:rFonts w:hint="eastAsia" w:ascii="仿宋_GB2312" w:hAnsi="ˎ̥" w:eastAsia="仿宋_GB2312"/>
          <w:color w:val="auto"/>
          <w:sz w:val="32"/>
          <w:szCs w:val="32"/>
          <w:lang w:val="en-US" w:eastAsia="zh-CN"/>
        </w:rPr>
        <w:t>47.96</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5.12</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val="en-US" w:eastAsia="zh-CN"/>
        </w:rPr>
        <w:t>是支付了在2022年开工进行园所改造工程的尾款</w:t>
      </w:r>
      <w:r>
        <w:rPr>
          <w:rFonts w:hint="eastAsia" w:ascii="仿宋_GB2312" w:hAnsi="ˎ̥" w:eastAsia="仿宋_GB2312"/>
          <w:color w:val="auto"/>
          <w:sz w:val="32"/>
          <w:szCs w:val="32"/>
        </w:rPr>
        <w:t>。</w:t>
      </w:r>
    </w:p>
    <w:p w14:paraId="2F2814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财政拨款年初结转结余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14:paraId="604B142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财政拨款年末结转结余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14:paraId="7BE8C2E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14:paraId="556163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77" w:name="_Toc23005_WPSOffice_Level2"/>
      <w:bookmarkStart w:id="78" w:name="_Toc21737_WPSOffice_Level2"/>
      <w:bookmarkStart w:id="79" w:name="_Toc13694_WPSOffice_Level2"/>
      <w:bookmarkStart w:id="80" w:name="_Toc19665_WPSOffice_Level2"/>
      <w:bookmarkStart w:id="81" w:name="_Toc9989_WPSOffice_Level2"/>
      <w:bookmarkStart w:id="82" w:name="_Toc17398_WPSOffice_Level2"/>
      <w:r>
        <w:rPr>
          <w:rFonts w:hint="eastAsia" w:ascii="楷体" w:hAnsi="楷体" w:eastAsia="楷体" w:cs="楷体"/>
          <w:color w:val="auto"/>
          <w:sz w:val="32"/>
          <w:szCs w:val="32"/>
        </w:rPr>
        <w:t>（一）一般公共预算财政拨款支出决算总体情况</w:t>
      </w:r>
      <w:bookmarkEnd w:id="77"/>
      <w:bookmarkEnd w:id="78"/>
      <w:bookmarkEnd w:id="79"/>
      <w:bookmarkEnd w:id="80"/>
      <w:bookmarkEnd w:id="81"/>
      <w:bookmarkEnd w:id="82"/>
    </w:p>
    <w:p w14:paraId="0B0CF2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935.07</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年度相比，一般公共预算财政拨款支出减少</w:t>
      </w:r>
      <w:r>
        <w:rPr>
          <w:rFonts w:hint="eastAsia" w:ascii="仿宋_GB2312" w:hAnsi="ˎ̥" w:eastAsia="仿宋_GB2312"/>
          <w:color w:val="auto"/>
          <w:sz w:val="32"/>
          <w:szCs w:val="32"/>
          <w:lang w:val="en-US" w:eastAsia="zh-CN"/>
        </w:rPr>
        <w:t>1.92</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0.2</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教育类支出减少</w:t>
      </w:r>
      <w:r>
        <w:rPr>
          <w:rFonts w:hint="eastAsia" w:ascii="仿宋_GB2312" w:hAnsi="ˎ̥" w:eastAsia="仿宋_GB2312"/>
          <w:color w:val="auto"/>
          <w:sz w:val="32"/>
          <w:szCs w:val="32"/>
        </w:rPr>
        <w:t>。</w:t>
      </w:r>
    </w:p>
    <w:p w14:paraId="02CF4A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3" w:name="_Toc27767_WPSOffice_Level2"/>
      <w:bookmarkStart w:id="84" w:name="_Toc2711_WPSOffice_Level2"/>
      <w:bookmarkStart w:id="85" w:name="_Toc19075_WPSOffice_Level2"/>
      <w:bookmarkStart w:id="86" w:name="_Toc18793_WPSOffice_Level2"/>
      <w:bookmarkStart w:id="87" w:name="_Toc19535_WPSOffice_Level2"/>
      <w:bookmarkStart w:id="88" w:name="_Toc23864_WPSOffice_Level2"/>
      <w:r>
        <w:rPr>
          <w:rFonts w:hint="eastAsia" w:ascii="楷体" w:hAnsi="楷体" w:eastAsia="楷体" w:cs="楷体"/>
          <w:color w:val="auto"/>
          <w:sz w:val="32"/>
          <w:szCs w:val="32"/>
        </w:rPr>
        <w:t>（二）一般公共预算财政拨款支出决算结构情况</w:t>
      </w:r>
      <w:bookmarkEnd w:id="83"/>
      <w:bookmarkEnd w:id="84"/>
      <w:bookmarkEnd w:id="85"/>
      <w:bookmarkEnd w:id="86"/>
      <w:bookmarkEnd w:id="87"/>
      <w:bookmarkEnd w:id="88"/>
    </w:p>
    <w:p w14:paraId="1BE4645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935.07</w:t>
      </w:r>
      <w:r>
        <w:rPr>
          <w:rFonts w:hint="eastAsia" w:ascii="仿宋_GB2312" w:hAnsi="ˎ̥" w:eastAsia="仿宋_GB2312"/>
          <w:color w:val="auto"/>
          <w:sz w:val="32"/>
          <w:szCs w:val="32"/>
        </w:rPr>
        <w:t>万元，主要用于以下方面：</w:t>
      </w:r>
      <w:r>
        <w:rPr>
          <w:rFonts w:hint="eastAsia" w:ascii="仿宋_GB2312" w:hAnsi="ˎ̥" w:eastAsia="仿宋_GB2312"/>
          <w:b/>
          <w:color w:val="auto"/>
          <w:sz w:val="32"/>
          <w:szCs w:val="32"/>
        </w:rPr>
        <w:t>教育</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783.79</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83.82</w:t>
      </w:r>
      <w:r>
        <w:rPr>
          <w:rFonts w:hint="eastAsia" w:ascii="仿宋_GB2312" w:hAnsi="ˎ̥" w:eastAsia="仿宋_GB2312"/>
          <w:color w:val="auto"/>
          <w:sz w:val="32"/>
          <w:szCs w:val="32"/>
        </w:rPr>
        <w:t>%；</w:t>
      </w:r>
      <w:r>
        <w:rPr>
          <w:rFonts w:hint="eastAsia" w:ascii="仿宋_GB2312" w:hAnsi="ˎ̥" w:eastAsia="仿宋_GB2312"/>
          <w:b/>
          <w:color w:val="auto"/>
          <w:sz w:val="32"/>
          <w:szCs w:val="32"/>
        </w:rPr>
        <w:t>社会保障和就业</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65.91</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7.05</w:t>
      </w:r>
      <w:r>
        <w:rPr>
          <w:rFonts w:hint="eastAsia" w:ascii="仿宋_GB2312" w:hAnsi="ˎ̥" w:eastAsia="仿宋_GB2312"/>
          <w:color w:val="auto"/>
          <w:sz w:val="32"/>
          <w:szCs w:val="32"/>
        </w:rPr>
        <w:t>%；</w:t>
      </w:r>
      <w:r>
        <w:rPr>
          <w:rFonts w:hint="eastAsia" w:ascii="仿宋_GB2312" w:hAnsi="ˎ̥" w:eastAsia="仿宋_GB2312"/>
          <w:b/>
          <w:color w:val="auto"/>
          <w:sz w:val="32"/>
          <w:szCs w:val="32"/>
        </w:rPr>
        <w:t>卫生健康</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47.86</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5.12</w:t>
      </w:r>
      <w:r>
        <w:rPr>
          <w:rFonts w:hint="eastAsia" w:ascii="仿宋_GB2312" w:hAnsi="ˎ̥" w:eastAsia="仿宋_GB2312"/>
          <w:color w:val="auto"/>
          <w:sz w:val="32"/>
          <w:szCs w:val="32"/>
        </w:rPr>
        <w:t>%；</w:t>
      </w:r>
      <w:r>
        <w:rPr>
          <w:rFonts w:hint="eastAsia" w:ascii="仿宋_GB2312" w:hAnsi="ˎ̥" w:eastAsia="仿宋_GB2312"/>
          <w:b/>
          <w:bCs/>
          <w:color w:val="auto"/>
          <w:sz w:val="32"/>
          <w:szCs w:val="32"/>
        </w:rPr>
        <w:t>住房保障</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37.51</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4.01</w:t>
      </w:r>
      <w:r>
        <w:rPr>
          <w:rFonts w:hint="eastAsia" w:ascii="仿宋_GB2312" w:hAnsi="ˎ̥" w:eastAsia="仿宋_GB2312"/>
          <w:color w:val="auto"/>
          <w:sz w:val="32"/>
          <w:szCs w:val="32"/>
        </w:rPr>
        <w:t>%。</w:t>
      </w:r>
    </w:p>
    <w:p w14:paraId="51B556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bookmarkStart w:id="89" w:name="_Toc22318_WPSOffice_Level2"/>
      <w:bookmarkStart w:id="90" w:name="_Toc9502_WPSOffice_Level2"/>
      <w:bookmarkStart w:id="91" w:name="_Toc25136_WPSOffice_Level2"/>
      <w:bookmarkStart w:id="92" w:name="_Toc29364_WPSOffice_Level2"/>
      <w:bookmarkStart w:id="93" w:name="_Toc21701_WPSOffice_Level2"/>
      <w:bookmarkStart w:id="94" w:name="_Toc15415_WPSOffice_Level2"/>
      <w:r>
        <w:rPr>
          <w:rFonts w:hint="eastAsia" w:ascii="楷体" w:hAnsi="楷体" w:eastAsia="楷体" w:cs="楷体"/>
          <w:color w:val="auto"/>
          <w:sz w:val="32"/>
          <w:szCs w:val="32"/>
          <w:highlight w:val="none"/>
        </w:rPr>
        <w:t>（三）一般公共预算财政拨款支出决算具体情况</w:t>
      </w:r>
      <w:bookmarkEnd w:id="89"/>
      <w:bookmarkEnd w:id="90"/>
      <w:bookmarkEnd w:id="91"/>
      <w:bookmarkEnd w:id="92"/>
      <w:bookmarkEnd w:id="93"/>
      <w:bookmarkEnd w:id="94"/>
    </w:p>
    <w:p w14:paraId="04217A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年度一般公共预算财政拨款支出年初预算为</w:t>
      </w:r>
      <w:r>
        <w:rPr>
          <w:rFonts w:hint="eastAsia" w:ascii="仿宋_GB2312" w:hAnsi="ˎ̥" w:eastAsia="仿宋_GB2312"/>
          <w:color w:val="auto"/>
          <w:sz w:val="32"/>
          <w:szCs w:val="32"/>
          <w:highlight w:val="none"/>
          <w:lang w:val="en-US" w:eastAsia="zh-CN"/>
        </w:rPr>
        <w:t>726.22</w:t>
      </w:r>
      <w:r>
        <w:rPr>
          <w:rFonts w:hint="eastAsia" w:ascii="仿宋_GB2312" w:hAnsi="ˎ̥" w:eastAsia="仿宋_GB2312"/>
          <w:color w:val="auto"/>
          <w:sz w:val="32"/>
          <w:szCs w:val="32"/>
          <w:highlight w:val="none"/>
        </w:rPr>
        <w:t>万元，支出决算为</w:t>
      </w:r>
      <w:r>
        <w:rPr>
          <w:rFonts w:hint="eastAsia" w:ascii="仿宋_GB2312" w:hAnsi="ˎ̥" w:eastAsia="仿宋_GB2312"/>
          <w:color w:val="auto"/>
          <w:sz w:val="32"/>
          <w:szCs w:val="32"/>
          <w:highlight w:val="none"/>
          <w:lang w:val="en-US" w:eastAsia="zh-CN"/>
        </w:rPr>
        <w:t>984.95</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135.63</w:t>
      </w:r>
      <w:r>
        <w:rPr>
          <w:rFonts w:hint="eastAsia" w:ascii="仿宋_GB2312" w:hAnsi="ˎ̥" w:eastAsia="仿宋_GB2312"/>
          <w:color w:val="auto"/>
          <w:sz w:val="32"/>
          <w:szCs w:val="32"/>
          <w:highlight w:val="none"/>
        </w:rPr>
        <w:t>%。其中：</w:t>
      </w:r>
    </w:p>
    <w:p w14:paraId="2A78320C">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highlight w:val="none"/>
        </w:rPr>
      </w:pPr>
      <w:r>
        <w:rPr>
          <w:rFonts w:hint="eastAsia" w:ascii="仿宋_GB2312" w:hAnsi="ˎ̥" w:eastAsia="仿宋_GB2312"/>
          <w:b/>
          <w:bCs/>
          <w:color w:val="auto"/>
          <w:sz w:val="32"/>
          <w:szCs w:val="32"/>
          <w:highlight w:val="none"/>
        </w:rPr>
        <w:t>1.教育支出普通教育学前教育。</w:t>
      </w:r>
    </w:p>
    <w:p w14:paraId="51C3B00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578.93</w:t>
      </w:r>
      <w:r>
        <w:rPr>
          <w:rFonts w:hint="eastAsia" w:ascii="仿宋_GB2312" w:hAnsi="ˎ̥" w:eastAsia="仿宋_GB2312"/>
          <w:color w:val="auto"/>
          <w:sz w:val="32"/>
          <w:szCs w:val="32"/>
          <w:highlight w:val="none"/>
        </w:rPr>
        <w:t>万元，支出决算为</w:t>
      </w:r>
      <w:r>
        <w:rPr>
          <w:rFonts w:hint="eastAsia" w:ascii="仿宋_GB2312" w:hAnsi="ˎ̥" w:eastAsia="仿宋_GB2312"/>
          <w:color w:val="auto"/>
          <w:sz w:val="32"/>
          <w:szCs w:val="32"/>
          <w:highlight w:val="none"/>
          <w:lang w:val="en-US" w:eastAsia="zh-CN"/>
        </w:rPr>
        <w:t>783.79</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135.39</w:t>
      </w:r>
      <w:r>
        <w:rPr>
          <w:rFonts w:hint="eastAsia" w:ascii="仿宋_GB2312" w:hAnsi="ˎ̥" w:eastAsia="仿宋_GB2312"/>
          <w:color w:val="auto"/>
          <w:sz w:val="32"/>
          <w:szCs w:val="32"/>
          <w:highlight w:val="none"/>
        </w:rPr>
        <w:t>%。决算数</w:t>
      </w:r>
      <w:r>
        <w:rPr>
          <w:rFonts w:hint="eastAsia" w:ascii="仿宋_GB2312" w:hAnsi="ˎ̥" w:eastAsia="仿宋_GB2312"/>
          <w:color w:val="auto"/>
          <w:sz w:val="32"/>
          <w:szCs w:val="32"/>
          <w:highlight w:val="none"/>
          <w:lang w:eastAsia="zh-CN"/>
        </w:rPr>
        <w:t>大</w:t>
      </w:r>
      <w:r>
        <w:rPr>
          <w:rFonts w:hint="eastAsia" w:ascii="仿宋_GB2312" w:hAnsi="ˎ̥" w:eastAsia="仿宋_GB2312"/>
          <w:color w:val="auto"/>
          <w:sz w:val="32"/>
          <w:szCs w:val="32"/>
          <w:highlight w:val="none"/>
        </w:rPr>
        <w:t>于预算数的主要原因：</w:t>
      </w:r>
      <w:r>
        <w:rPr>
          <w:rFonts w:hint="eastAsia" w:ascii="仿宋_GB2312" w:hAnsi="ˎ̥" w:eastAsia="仿宋_GB2312"/>
          <w:color w:val="auto"/>
          <w:sz w:val="32"/>
          <w:szCs w:val="32"/>
          <w:highlight w:val="none"/>
          <w:lang w:eastAsia="zh-CN"/>
        </w:rPr>
        <w:t>一是</w:t>
      </w:r>
      <w:r>
        <w:rPr>
          <w:rFonts w:hint="eastAsia" w:ascii="仿宋_GB2312" w:hAnsi="ˎ̥" w:eastAsia="仿宋_GB2312"/>
          <w:color w:val="auto"/>
          <w:sz w:val="32"/>
          <w:szCs w:val="32"/>
          <w:highlight w:val="none"/>
        </w:rPr>
        <w:t>支付了在2022年开工进行园所改造工程的尾款</w:t>
      </w:r>
      <w:r>
        <w:rPr>
          <w:rFonts w:hint="eastAsia" w:ascii="仿宋_GB2312" w:hAnsi="ˎ̥" w:eastAsia="仿宋_GB2312"/>
          <w:color w:val="auto"/>
          <w:sz w:val="32"/>
          <w:szCs w:val="32"/>
          <w:highlight w:val="none"/>
          <w:lang w:eastAsia="zh-CN"/>
        </w:rPr>
        <w:t>、二是教育活动增加</w:t>
      </w:r>
      <w:r>
        <w:rPr>
          <w:rFonts w:hint="eastAsia" w:ascii="仿宋_GB2312" w:hAnsi="ˎ̥" w:eastAsia="仿宋_GB2312"/>
          <w:color w:val="auto"/>
          <w:sz w:val="32"/>
          <w:szCs w:val="32"/>
          <w:highlight w:val="none"/>
        </w:rPr>
        <w:t>。</w:t>
      </w:r>
    </w:p>
    <w:p w14:paraId="7C27F281">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bCs/>
          <w:color w:val="auto"/>
          <w:sz w:val="32"/>
          <w:szCs w:val="32"/>
          <w:highlight w:val="none"/>
        </w:rPr>
      </w:pPr>
      <w:r>
        <w:rPr>
          <w:rFonts w:hint="eastAsia" w:ascii="仿宋_GB2312" w:hAnsi="ˎ̥" w:eastAsia="仿宋_GB2312"/>
          <w:b/>
          <w:bCs/>
          <w:color w:val="auto"/>
          <w:sz w:val="32"/>
          <w:szCs w:val="32"/>
          <w:highlight w:val="none"/>
          <w:lang w:val="en-US" w:eastAsia="zh-CN"/>
        </w:rPr>
        <w:t>2</w:t>
      </w:r>
      <w:r>
        <w:rPr>
          <w:rFonts w:hint="eastAsia" w:ascii="仿宋_GB2312" w:hAnsi="ˎ̥" w:eastAsia="仿宋_GB2312"/>
          <w:b/>
          <w:bCs/>
          <w:color w:val="auto"/>
          <w:sz w:val="32"/>
          <w:szCs w:val="32"/>
          <w:highlight w:val="none"/>
        </w:rPr>
        <w:t>.教育支出教育管理事务其他教育管理事务支出。</w:t>
      </w:r>
    </w:p>
    <w:p w14:paraId="6F0D864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1.1</w:t>
      </w:r>
      <w:r>
        <w:rPr>
          <w:rFonts w:hint="eastAsia" w:ascii="仿宋_GB2312" w:hAnsi="ˎ̥" w:eastAsia="仿宋_GB2312"/>
          <w:color w:val="auto"/>
          <w:sz w:val="32"/>
          <w:szCs w:val="32"/>
          <w:highlight w:val="none"/>
        </w:rPr>
        <w:t>万元，支出决算为</w:t>
      </w:r>
      <w:r>
        <w:rPr>
          <w:rFonts w:hint="eastAsia" w:ascii="仿宋_GB2312" w:hAnsi="ˎ̥" w:eastAsia="仿宋_GB2312"/>
          <w:color w:val="auto"/>
          <w:sz w:val="32"/>
          <w:szCs w:val="32"/>
          <w:highlight w:val="none"/>
          <w:lang w:val="en-US" w:eastAsia="zh-CN"/>
        </w:rPr>
        <w:t>0.72</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65.45</w:t>
      </w:r>
      <w:r>
        <w:rPr>
          <w:rFonts w:hint="eastAsia" w:ascii="仿宋_GB2312" w:hAnsi="ˎ̥" w:eastAsia="仿宋_GB2312"/>
          <w:color w:val="auto"/>
          <w:sz w:val="32"/>
          <w:szCs w:val="32"/>
          <w:highlight w:val="none"/>
        </w:rPr>
        <w:t>%。决算数</w:t>
      </w:r>
      <w:r>
        <w:rPr>
          <w:rFonts w:hint="eastAsia" w:ascii="仿宋_GB2312" w:hAnsi="ˎ̥" w:eastAsia="仿宋_GB2312"/>
          <w:color w:val="auto"/>
          <w:sz w:val="32"/>
          <w:szCs w:val="32"/>
          <w:highlight w:val="none"/>
          <w:lang w:eastAsia="zh-CN"/>
        </w:rPr>
        <w:t>小于</w:t>
      </w:r>
      <w:r>
        <w:rPr>
          <w:rFonts w:hint="eastAsia" w:ascii="仿宋_GB2312" w:hAnsi="ˎ̥" w:eastAsia="仿宋_GB2312"/>
          <w:color w:val="auto"/>
          <w:sz w:val="32"/>
          <w:szCs w:val="32"/>
          <w:highlight w:val="none"/>
        </w:rPr>
        <w:t>预算数</w:t>
      </w:r>
      <w:r>
        <w:rPr>
          <w:rFonts w:hint="eastAsia" w:ascii="仿宋_GB2312" w:hAnsi="ˎ̥" w:eastAsia="仿宋_GB2312"/>
          <w:color w:val="auto"/>
          <w:sz w:val="32"/>
          <w:szCs w:val="32"/>
          <w:highlight w:val="none"/>
          <w:lang w:eastAsia="zh-CN"/>
        </w:rPr>
        <w:t>的主要原因：部分党建活动未开展。</w:t>
      </w:r>
    </w:p>
    <w:p w14:paraId="70347464">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bCs/>
          <w:color w:val="auto"/>
          <w:sz w:val="32"/>
          <w:szCs w:val="32"/>
          <w:highlight w:val="none"/>
        </w:rPr>
      </w:pPr>
      <w:r>
        <w:rPr>
          <w:rFonts w:hint="eastAsia" w:ascii="仿宋_GB2312" w:hAnsi="ˎ̥" w:eastAsia="仿宋_GB2312"/>
          <w:b/>
          <w:bCs/>
          <w:color w:val="auto"/>
          <w:sz w:val="32"/>
          <w:szCs w:val="32"/>
          <w:highlight w:val="none"/>
          <w:lang w:val="en-US" w:eastAsia="zh-CN"/>
        </w:rPr>
        <w:t>3</w:t>
      </w:r>
      <w:r>
        <w:rPr>
          <w:rFonts w:hint="eastAsia" w:ascii="仿宋_GB2312" w:hAnsi="ˎ̥" w:eastAsia="仿宋_GB2312"/>
          <w:b/>
          <w:bCs/>
          <w:color w:val="auto"/>
          <w:sz w:val="32"/>
          <w:szCs w:val="32"/>
          <w:highlight w:val="none"/>
        </w:rPr>
        <w:t>.会保障和就业支出行政事业单位养老支出机关事业单位基本养老保险缴费支出。</w:t>
      </w:r>
    </w:p>
    <w:p w14:paraId="7DB7C6F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38.03</w:t>
      </w:r>
      <w:r>
        <w:rPr>
          <w:rFonts w:hint="eastAsia" w:ascii="仿宋_GB2312" w:hAnsi="ˎ̥" w:eastAsia="仿宋_GB2312"/>
          <w:color w:val="auto"/>
          <w:sz w:val="32"/>
          <w:szCs w:val="32"/>
          <w:highlight w:val="none"/>
        </w:rPr>
        <w:t>万元，支出决算为</w:t>
      </w:r>
      <w:r>
        <w:rPr>
          <w:rFonts w:hint="eastAsia" w:ascii="仿宋_GB2312" w:hAnsi="ˎ̥" w:eastAsia="仿宋_GB2312"/>
          <w:color w:val="auto"/>
          <w:sz w:val="32"/>
          <w:szCs w:val="32"/>
          <w:highlight w:val="none"/>
          <w:lang w:val="en-US" w:eastAsia="zh-CN"/>
        </w:rPr>
        <w:t>43.94</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115.55</w:t>
      </w:r>
      <w:r>
        <w:rPr>
          <w:rFonts w:hint="eastAsia" w:ascii="仿宋_GB2312" w:hAnsi="ˎ̥" w:eastAsia="仿宋_GB2312"/>
          <w:color w:val="auto"/>
          <w:sz w:val="32"/>
          <w:szCs w:val="32"/>
          <w:highlight w:val="none"/>
        </w:rPr>
        <w:t>%。决算数大于预算数的主要原因：教职工资晋升，基本养老保险基数高，缴费</w:t>
      </w:r>
      <w:r>
        <w:rPr>
          <w:rFonts w:hint="eastAsia" w:ascii="仿宋_GB2312" w:hAnsi="ˎ̥" w:eastAsia="仿宋_GB2312"/>
          <w:color w:val="auto"/>
          <w:sz w:val="32"/>
          <w:szCs w:val="32"/>
          <w:highlight w:val="none"/>
          <w:lang w:eastAsia="zh-CN"/>
        </w:rPr>
        <w:t>数额</w:t>
      </w:r>
      <w:r>
        <w:rPr>
          <w:rFonts w:hint="eastAsia" w:ascii="仿宋_GB2312" w:hAnsi="ˎ̥" w:eastAsia="仿宋_GB2312"/>
          <w:color w:val="auto"/>
          <w:sz w:val="32"/>
          <w:szCs w:val="32"/>
          <w:highlight w:val="none"/>
        </w:rPr>
        <w:t>增加。</w:t>
      </w:r>
    </w:p>
    <w:p w14:paraId="3B846831">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bCs/>
          <w:color w:val="auto"/>
          <w:sz w:val="32"/>
          <w:szCs w:val="32"/>
          <w:highlight w:val="none"/>
        </w:rPr>
      </w:pPr>
      <w:r>
        <w:rPr>
          <w:rFonts w:hint="eastAsia" w:ascii="仿宋_GB2312" w:hAnsi="ˎ̥" w:eastAsia="仿宋_GB2312"/>
          <w:b/>
          <w:bCs/>
          <w:color w:val="auto"/>
          <w:sz w:val="32"/>
          <w:szCs w:val="32"/>
          <w:highlight w:val="none"/>
          <w:lang w:val="en-US" w:eastAsia="zh-CN"/>
        </w:rPr>
        <w:t>4</w:t>
      </w:r>
      <w:r>
        <w:rPr>
          <w:rFonts w:hint="eastAsia" w:ascii="仿宋_GB2312" w:hAnsi="ˎ̥" w:eastAsia="仿宋_GB2312"/>
          <w:b/>
          <w:bCs/>
          <w:color w:val="auto"/>
          <w:sz w:val="32"/>
          <w:szCs w:val="32"/>
          <w:highlight w:val="none"/>
        </w:rPr>
        <w:t>.会保障和就业支出行政事业单位养老支出机关事业单位职业年金缴费支出。</w:t>
      </w:r>
    </w:p>
    <w:p w14:paraId="4FAF033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年初预算</w:t>
      </w:r>
      <w:r>
        <w:rPr>
          <w:rFonts w:hint="eastAsia" w:ascii="仿宋_GB2312" w:hAnsi="ˎ̥" w:eastAsia="仿宋_GB2312"/>
          <w:color w:val="auto"/>
          <w:sz w:val="32"/>
          <w:szCs w:val="32"/>
          <w:highlight w:val="none"/>
          <w:lang w:val="en-US" w:eastAsia="zh-CN"/>
        </w:rPr>
        <w:t>19.01</w:t>
      </w:r>
      <w:r>
        <w:rPr>
          <w:rFonts w:hint="eastAsia" w:ascii="仿宋_GB2312" w:hAnsi="ˎ̥" w:eastAsia="仿宋_GB2312"/>
          <w:color w:val="auto"/>
          <w:sz w:val="32"/>
          <w:szCs w:val="32"/>
          <w:highlight w:val="none"/>
        </w:rPr>
        <w:t>万元，支出决算为</w:t>
      </w:r>
      <w:r>
        <w:rPr>
          <w:rFonts w:hint="eastAsia" w:ascii="仿宋_GB2312" w:hAnsi="ˎ̥" w:eastAsia="仿宋_GB2312"/>
          <w:color w:val="auto"/>
          <w:sz w:val="32"/>
          <w:szCs w:val="32"/>
          <w:highlight w:val="none"/>
          <w:lang w:val="en-US" w:eastAsia="zh-CN"/>
        </w:rPr>
        <w:t>21.97</w:t>
      </w:r>
      <w:r>
        <w:rPr>
          <w:rFonts w:hint="eastAsia" w:ascii="仿宋_GB2312" w:hAnsi="ˎ̥" w:eastAsia="仿宋_GB2312"/>
          <w:color w:val="auto"/>
          <w:sz w:val="32"/>
          <w:szCs w:val="32"/>
          <w:highlight w:val="none"/>
        </w:rPr>
        <w:t>万元，完成年初预算的104.83%。决算数大于预算数的主要原因：教职工资晋升，基本养老保险基数高，缴费增加。</w:t>
      </w:r>
    </w:p>
    <w:p w14:paraId="230C9B5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bCs/>
          <w:color w:val="auto"/>
          <w:sz w:val="32"/>
          <w:szCs w:val="32"/>
          <w:highlight w:val="none"/>
        </w:rPr>
      </w:pPr>
      <w:r>
        <w:rPr>
          <w:rFonts w:hint="eastAsia" w:ascii="仿宋_GB2312" w:hAnsi="ˎ̥" w:eastAsia="仿宋_GB2312"/>
          <w:b/>
          <w:bCs/>
          <w:color w:val="auto"/>
          <w:sz w:val="32"/>
          <w:szCs w:val="32"/>
          <w:highlight w:val="none"/>
          <w:lang w:val="en-US" w:eastAsia="zh-CN"/>
        </w:rPr>
        <w:t>5</w:t>
      </w:r>
      <w:r>
        <w:rPr>
          <w:rFonts w:hint="eastAsia" w:ascii="仿宋_GB2312" w:hAnsi="ˎ̥" w:eastAsia="仿宋_GB2312"/>
          <w:b/>
          <w:bCs/>
          <w:color w:val="auto"/>
          <w:sz w:val="32"/>
          <w:szCs w:val="32"/>
          <w:highlight w:val="none"/>
        </w:rPr>
        <w:t>.卫生健康支出行政事业单位医疗事业单位医疗。</w:t>
      </w:r>
    </w:p>
    <w:p w14:paraId="77C4910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17.18</w:t>
      </w:r>
      <w:r>
        <w:rPr>
          <w:rFonts w:hint="eastAsia" w:ascii="仿宋_GB2312" w:hAnsi="ˎ̥" w:eastAsia="仿宋_GB2312"/>
          <w:color w:val="auto"/>
          <w:sz w:val="32"/>
          <w:szCs w:val="32"/>
          <w:highlight w:val="none"/>
        </w:rPr>
        <w:t>万元，支出决算为</w:t>
      </w:r>
      <w:r>
        <w:rPr>
          <w:rFonts w:hint="eastAsia" w:ascii="仿宋_GB2312" w:hAnsi="ˎ̥" w:eastAsia="仿宋_GB2312"/>
          <w:color w:val="auto"/>
          <w:sz w:val="32"/>
          <w:szCs w:val="32"/>
          <w:highlight w:val="none"/>
          <w:lang w:val="en-US" w:eastAsia="zh-CN"/>
        </w:rPr>
        <w:t>17.9</w:t>
      </w:r>
      <w:r>
        <w:rPr>
          <w:rFonts w:hint="eastAsia" w:ascii="仿宋_GB2312" w:hAnsi="ˎ̥" w:eastAsia="仿宋_GB2312"/>
          <w:color w:val="auto"/>
          <w:sz w:val="32"/>
          <w:szCs w:val="32"/>
          <w:highlight w:val="none"/>
        </w:rPr>
        <w:t>万元，完成年初预算的105.02%。决算数大于预算数的主要原因：教职工资晋升，基本医疗保险基数高，缴费增加。</w:t>
      </w:r>
    </w:p>
    <w:p w14:paraId="39931EDC">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bCs/>
          <w:color w:val="auto"/>
          <w:sz w:val="32"/>
          <w:szCs w:val="32"/>
          <w:highlight w:val="none"/>
        </w:rPr>
      </w:pPr>
      <w:r>
        <w:rPr>
          <w:rFonts w:hint="eastAsia" w:ascii="仿宋_GB2312" w:hAnsi="ˎ̥" w:eastAsia="仿宋_GB2312"/>
          <w:b/>
          <w:bCs/>
          <w:color w:val="auto"/>
          <w:sz w:val="32"/>
          <w:szCs w:val="32"/>
          <w:highlight w:val="none"/>
          <w:lang w:val="en-US" w:eastAsia="zh-CN"/>
        </w:rPr>
        <w:t>6</w:t>
      </w:r>
      <w:r>
        <w:rPr>
          <w:rFonts w:hint="eastAsia" w:ascii="仿宋_GB2312" w:hAnsi="ˎ̥" w:eastAsia="仿宋_GB2312"/>
          <w:b/>
          <w:bCs/>
          <w:color w:val="auto"/>
          <w:sz w:val="32"/>
          <w:szCs w:val="32"/>
          <w:highlight w:val="none"/>
        </w:rPr>
        <w:t>.卫生健康支出行政事业单位医疗公务医疗补助。</w:t>
      </w:r>
    </w:p>
    <w:p w14:paraId="6E7B4FE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36.37</w:t>
      </w:r>
      <w:r>
        <w:rPr>
          <w:rFonts w:hint="eastAsia" w:ascii="仿宋_GB2312" w:hAnsi="ˎ̥" w:eastAsia="仿宋_GB2312"/>
          <w:color w:val="auto"/>
          <w:sz w:val="32"/>
          <w:szCs w:val="32"/>
          <w:highlight w:val="none"/>
        </w:rPr>
        <w:t>万元，支出决算为</w:t>
      </w:r>
      <w:r>
        <w:rPr>
          <w:rFonts w:hint="eastAsia" w:ascii="仿宋_GB2312" w:hAnsi="ˎ̥" w:eastAsia="仿宋_GB2312"/>
          <w:color w:val="auto"/>
          <w:sz w:val="32"/>
          <w:szCs w:val="32"/>
          <w:highlight w:val="none"/>
          <w:lang w:val="en-US" w:eastAsia="zh-CN"/>
        </w:rPr>
        <w:t>29.96</w:t>
      </w:r>
      <w:r>
        <w:rPr>
          <w:rFonts w:hint="eastAsia" w:ascii="仿宋_GB2312" w:hAnsi="ˎ̥" w:eastAsia="仿宋_GB2312"/>
          <w:color w:val="auto"/>
          <w:sz w:val="32"/>
          <w:szCs w:val="32"/>
          <w:highlight w:val="none"/>
        </w:rPr>
        <w:t>万元，完成年初预算的105.74%。决算数大于预算数的主要原因：</w:t>
      </w:r>
      <w:r>
        <w:rPr>
          <w:rFonts w:hint="eastAsia" w:ascii="仿宋_GB2312" w:hAnsi="ˎ̥" w:eastAsia="仿宋_GB2312"/>
          <w:color w:val="auto"/>
          <w:sz w:val="32"/>
          <w:szCs w:val="32"/>
          <w:highlight w:val="none"/>
          <w:lang w:eastAsia="zh-CN"/>
        </w:rPr>
        <w:t>预算编制不准确</w:t>
      </w:r>
      <w:r>
        <w:rPr>
          <w:rFonts w:hint="eastAsia" w:ascii="仿宋_GB2312" w:hAnsi="ˎ̥" w:eastAsia="仿宋_GB2312"/>
          <w:color w:val="auto"/>
          <w:sz w:val="32"/>
          <w:szCs w:val="32"/>
          <w:highlight w:val="none"/>
        </w:rPr>
        <w:t>。</w:t>
      </w:r>
    </w:p>
    <w:p w14:paraId="79F549F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bCs/>
          <w:color w:val="auto"/>
          <w:sz w:val="32"/>
          <w:szCs w:val="32"/>
          <w:highlight w:val="none"/>
        </w:rPr>
      </w:pPr>
      <w:r>
        <w:rPr>
          <w:rFonts w:hint="eastAsia" w:ascii="仿宋_GB2312" w:hAnsi="ˎ̥" w:eastAsia="仿宋_GB2312"/>
          <w:b/>
          <w:bCs/>
          <w:color w:val="auto"/>
          <w:sz w:val="32"/>
          <w:szCs w:val="32"/>
          <w:highlight w:val="none"/>
          <w:lang w:val="en-US" w:eastAsia="zh-CN"/>
        </w:rPr>
        <w:t>7</w:t>
      </w:r>
      <w:r>
        <w:rPr>
          <w:rFonts w:hint="eastAsia" w:ascii="仿宋_GB2312" w:hAnsi="ˎ̥" w:eastAsia="仿宋_GB2312"/>
          <w:b/>
          <w:bCs/>
          <w:color w:val="auto"/>
          <w:sz w:val="32"/>
          <w:szCs w:val="32"/>
          <w:highlight w:val="none"/>
        </w:rPr>
        <w:t>.城乡社区支出国有土地使用权出让收入安排的支出其他国有土地使用权出让收入安排的支出。</w:t>
      </w:r>
    </w:p>
    <w:p w14:paraId="09C9AF6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万元，支出决算为</w:t>
      </w:r>
      <w:r>
        <w:rPr>
          <w:rFonts w:hint="eastAsia" w:ascii="仿宋_GB2312" w:hAnsi="ˎ̥" w:eastAsia="仿宋_GB2312"/>
          <w:color w:val="auto"/>
          <w:sz w:val="32"/>
          <w:szCs w:val="32"/>
          <w:highlight w:val="none"/>
          <w:lang w:val="en-US" w:eastAsia="zh-CN"/>
        </w:rPr>
        <w:t>49.87</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100</w:t>
      </w:r>
      <w:r>
        <w:rPr>
          <w:rFonts w:hint="eastAsia" w:ascii="仿宋_GB2312" w:hAnsi="ˎ̥" w:eastAsia="仿宋_GB2312"/>
          <w:color w:val="auto"/>
          <w:sz w:val="32"/>
          <w:szCs w:val="32"/>
          <w:highlight w:val="none"/>
        </w:rPr>
        <w:t>%。决算数大于预算数的主要原因：支付了在2022年开工进行园所改造工程的尾款。</w:t>
      </w:r>
    </w:p>
    <w:p w14:paraId="706F3E5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bCs/>
          <w:color w:val="auto"/>
          <w:sz w:val="32"/>
          <w:szCs w:val="32"/>
          <w:highlight w:val="none"/>
        </w:rPr>
      </w:pPr>
      <w:r>
        <w:rPr>
          <w:rFonts w:hint="eastAsia" w:ascii="仿宋_GB2312" w:hAnsi="ˎ̥" w:eastAsia="仿宋_GB2312"/>
          <w:b/>
          <w:bCs/>
          <w:color w:val="auto"/>
          <w:sz w:val="32"/>
          <w:szCs w:val="32"/>
          <w:highlight w:val="none"/>
          <w:lang w:val="en-US" w:eastAsia="zh-CN"/>
        </w:rPr>
        <w:t>8</w:t>
      </w:r>
      <w:r>
        <w:rPr>
          <w:rFonts w:hint="eastAsia" w:ascii="仿宋_GB2312" w:hAnsi="ˎ̥" w:eastAsia="仿宋_GB2312"/>
          <w:b/>
          <w:bCs/>
          <w:color w:val="auto"/>
          <w:sz w:val="32"/>
          <w:szCs w:val="32"/>
          <w:highlight w:val="none"/>
        </w:rPr>
        <w:t>.住房保障支出住房改革支出住房公积金。</w:t>
      </w:r>
    </w:p>
    <w:p w14:paraId="6C2E261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36.7</w:t>
      </w:r>
      <w:r>
        <w:rPr>
          <w:rFonts w:hint="eastAsia" w:ascii="仿宋_GB2312" w:hAnsi="ˎ̥" w:eastAsia="仿宋_GB2312"/>
          <w:color w:val="auto"/>
          <w:sz w:val="32"/>
          <w:szCs w:val="32"/>
          <w:highlight w:val="none"/>
        </w:rPr>
        <w:t>万元，支出决算为</w:t>
      </w:r>
      <w:r>
        <w:rPr>
          <w:rFonts w:hint="eastAsia" w:ascii="仿宋_GB2312" w:hAnsi="ˎ̥" w:eastAsia="仿宋_GB2312"/>
          <w:color w:val="auto"/>
          <w:sz w:val="32"/>
          <w:szCs w:val="32"/>
          <w:highlight w:val="none"/>
          <w:lang w:val="en-US" w:eastAsia="zh-CN"/>
        </w:rPr>
        <w:t>37.51</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102.21</w:t>
      </w:r>
      <w:r>
        <w:rPr>
          <w:rFonts w:hint="eastAsia" w:ascii="仿宋_GB2312" w:hAnsi="ˎ̥" w:eastAsia="仿宋_GB2312"/>
          <w:color w:val="auto"/>
          <w:sz w:val="32"/>
          <w:szCs w:val="32"/>
          <w:highlight w:val="none"/>
        </w:rPr>
        <w:t>%。决算数大于预算数的主要原因：教职工资晋升，住房公积金基数高。</w:t>
      </w:r>
    </w:p>
    <w:p w14:paraId="6EAB98CA">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14:paraId="588683DF">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rPr>
        <w:t>508.88</w:t>
      </w:r>
      <w:r>
        <w:rPr>
          <w:rFonts w:hint="eastAsia" w:ascii="仿宋_GB2312" w:hAnsi="ˎ̥" w:eastAsia="仿宋_GB2312"/>
          <w:color w:val="auto"/>
          <w:sz w:val="32"/>
          <w:szCs w:val="32"/>
        </w:rPr>
        <w:t>万元，其中：人员经费</w:t>
      </w:r>
      <w:r>
        <w:rPr>
          <w:rFonts w:ascii="仿宋_GB2312" w:hAnsi="ˎ̥" w:eastAsia="仿宋_GB2312"/>
          <w:color w:val="auto"/>
          <w:sz w:val="32"/>
          <w:szCs w:val="32"/>
          <w:lang w:val="en-US"/>
        </w:rPr>
        <w:t>499.66</w:t>
      </w:r>
      <w:r>
        <w:rPr>
          <w:rFonts w:hint="eastAsia" w:ascii="仿宋_GB2312" w:hAnsi="ˎ̥" w:eastAsia="仿宋_GB2312"/>
          <w:color w:val="auto"/>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抚恤金、生活补助、救济费、奖励金、其他对个人和家庭的补助。公用经费</w:t>
      </w:r>
      <w:r>
        <w:rPr>
          <w:rFonts w:ascii="仿宋_GB2312" w:hAnsi="ˎ̥" w:eastAsia="仿宋_GB2312"/>
          <w:color w:val="auto"/>
          <w:sz w:val="32"/>
          <w:szCs w:val="32"/>
          <w:lang w:val="en-US"/>
        </w:rPr>
        <w:t>9.21</w:t>
      </w:r>
      <w:r>
        <w:rPr>
          <w:rFonts w:hint="eastAsia" w:ascii="仿宋_GB2312" w:hAnsi="ˎ̥" w:eastAsia="仿宋_GB2312"/>
          <w:color w:val="auto"/>
          <w:sz w:val="32"/>
          <w:szCs w:val="32"/>
        </w:rPr>
        <w:t>万元，主要包括：商品和服务支出中的办公费</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手续费、水费、电费、邮电费</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差旅费、维修（护）费、租赁费、会议费、培训费、劳务费、委托业务费、工会经费、其他商品和服务支出；办公设备购置、专用设备购置。</w:t>
      </w:r>
    </w:p>
    <w:p w14:paraId="7241B08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14:paraId="643B85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14:paraId="0E502A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49.87</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5.06</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年度相比，政府性基金预算财政拨款支出增加</w:t>
      </w:r>
      <w:r>
        <w:rPr>
          <w:rFonts w:hint="eastAsia" w:ascii="仿宋_GB2312" w:hAnsi="ˎ̥" w:eastAsia="仿宋_GB2312"/>
          <w:color w:val="auto"/>
          <w:sz w:val="32"/>
          <w:szCs w:val="32"/>
          <w:lang w:val="en-US" w:eastAsia="zh-CN"/>
        </w:rPr>
        <w:t>49.87</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val="en-US" w:eastAsia="zh-CN"/>
        </w:rPr>
        <w:t>是支付了在2022年开工进行园所改造工程的尾款</w:t>
      </w:r>
      <w:r>
        <w:rPr>
          <w:rFonts w:hint="eastAsia" w:ascii="仿宋_GB2312" w:hAnsi="ˎ̥" w:eastAsia="仿宋_GB2312"/>
          <w:color w:val="auto"/>
          <w:sz w:val="32"/>
          <w:szCs w:val="32"/>
        </w:rPr>
        <w:t>。</w:t>
      </w:r>
    </w:p>
    <w:p w14:paraId="06BD9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14:paraId="7B5BDB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49.87</w:t>
      </w:r>
      <w:r>
        <w:rPr>
          <w:rFonts w:hint="eastAsia" w:ascii="仿宋_GB2312" w:hAnsi="ˎ̥" w:eastAsia="仿宋_GB2312"/>
          <w:color w:val="auto"/>
          <w:sz w:val="32"/>
          <w:szCs w:val="32"/>
        </w:rPr>
        <w:t>万元，主要用于以下方面：</w:t>
      </w:r>
      <w:r>
        <w:rPr>
          <w:rFonts w:hint="default" w:ascii="仿宋_GB2312" w:hAnsi="ˎ̥" w:eastAsia="仿宋_GB2312"/>
          <w:color w:val="auto"/>
          <w:sz w:val="32"/>
          <w:szCs w:val="32"/>
          <w:lang w:val="en-US"/>
        </w:rPr>
        <w:t>城乡社区支出</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49.87</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2AA579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14:paraId="184DD0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49.87</w:t>
      </w:r>
      <w:r>
        <w:rPr>
          <w:rFonts w:hint="eastAsia" w:ascii="仿宋_GB2312" w:hAnsi="ˎ̥" w:eastAsia="仿宋_GB2312"/>
          <w:color w:val="auto"/>
          <w:sz w:val="32"/>
          <w:szCs w:val="32"/>
        </w:rPr>
        <w:t>万元。其中：</w:t>
      </w:r>
    </w:p>
    <w:p w14:paraId="1EE42A3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bCs/>
          <w:color w:val="auto"/>
          <w:sz w:val="32"/>
          <w:szCs w:val="32"/>
        </w:rPr>
      </w:pPr>
      <w:r>
        <w:rPr>
          <w:rFonts w:hint="eastAsia" w:ascii="仿宋_GB2312" w:hAnsi="ˎ̥" w:eastAsia="仿宋_GB2312"/>
          <w:b/>
          <w:bCs/>
          <w:color w:val="auto"/>
          <w:sz w:val="32"/>
          <w:szCs w:val="32"/>
        </w:rPr>
        <w:t>1.</w:t>
      </w:r>
      <w:r>
        <w:rPr>
          <w:rFonts w:hint="default" w:ascii="仿宋_GB2312" w:hAnsi="ˎ̥" w:eastAsia="仿宋_GB2312"/>
          <w:b/>
          <w:bCs/>
          <w:color w:val="auto"/>
          <w:sz w:val="32"/>
          <w:szCs w:val="32"/>
          <w:lang w:val="en-US"/>
        </w:rPr>
        <w:t>城乡社区支出国有土地使用权出让收入安排的支出其他国有土地使用权出让收入安排的支出</w:t>
      </w:r>
      <w:r>
        <w:rPr>
          <w:rFonts w:hint="eastAsia" w:ascii="仿宋_GB2312" w:hAnsi="ˎ̥" w:eastAsia="仿宋_GB2312"/>
          <w:b/>
          <w:bCs/>
          <w:color w:val="auto"/>
          <w:sz w:val="32"/>
          <w:szCs w:val="32"/>
        </w:rPr>
        <w:t>。</w:t>
      </w:r>
    </w:p>
    <w:p w14:paraId="535102C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49.87</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支付了在2022年开工进行园所改造工程的尾款。</w:t>
      </w:r>
    </w:p>
    <w:p w14:paraId="101E92BC">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14:paraId="160090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14:paraId="5E6A22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lang w:val="en-US" w:eastAsia="zh-CN"/>
        </w:rPr>
        <w:t>无此类事项。</w:t>
      </w:r>
    </w:p>
    <w:p w14:paraId="7F0C56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14:paraId="2CDBB1C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lang w:val="en-US" w:eastAsia="zh-CN"/>
        </w:rPr>
        <w:t>无此类事项</w:t>
      </w:r>
      <w:r>
        <w:rPr>
          <w:rFonts w:hint="eastAsia" w:ascii="仿宋_GB2312" w:hAnsi="ˎ̥" w:eastAsia="仿宋_GB2312"/>
          <w:color w:val="auto"/>
          <w:sz w:val="32"/>
          <w:szCs w:val="32"/>
        </w:rPr>
        <w:t>。</w:t>
      </w:r>
    </w:p>
    <w:p w14:paraId="6DA2D6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（三）国有资本经营预算财政拨款支出决算具体情况</w:t>
      </w:r>
    </w:p>
    <w:p w14:paraId="1B28ACB1">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lang w:val="en-US" w:eastAsia="zh-CN"/>
        </w:rPr>
        <w:t>无此类事项</w:t>
      </w:r>
      <w:r>
        <w:rPr>
          <w:rFonts w:hint="eastAsia" w:ascii="仿宋_GB2312" w:hAnsi="ˎ̥" w:eastAsia="仿宋_GB2312"/>
          <w:color w:val="auto"/>
          <w:sz w:val="32"/>
          <w:szCs w:val="32"/>
        </w:rPr>
        <w:t>。</w:t>
      </w:r>
    </w:p>
    <w:p w14:paraId="5834EC2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14:paraId="18F9E7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14:paraId="1367A27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r>
        <w:rPr>
          <w:rFonts w:hint="eastAsia" w:ascii="仿宋_GB2312" w:hAnsi="ˎ̥" w:eastAsia="仿宋_GB2312"/>
          <w:color w:val="auto"/>
          <w:sz w:val="32"/>
          <w:szCs w:val="32"/>
          <w:lang w:val="en-US" w:eastAsia="zh-CN"/>
        </w:rPr>
        <w:t>无此类事项</w:t>
      </w:r>
      <w:r>
        <w:rPr>
          <w:rFonts w:hint="eastAsia" w:ascii="仿宋_GB2312" w:hAnsi="ˎ̥" w:eastAsia="仿宋_GB2312"/>
          <w:color w:val="auto"/>
          <w:sz w:val="32"/>
          <w:szCs w:val="32"/>
        </w:rPr>
        <w:t>。</w:t>
      </w:r>
    </w:p>
    <w:p w14:paraId="0787B19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14:paraId="70283DA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lang w:val="en-US" w:eastAsia="zh-CN"/>
        </w:rPr>
        <w:t>无此类事项</w:t>
      </w:r>
      <w:r>
        <w:rPr>
          <w:rFonts w:hint="eastAsia" w:ascii="仿宋_GB2312" w:hAnsi="ˎ̥" w:eastAsia="仿宋_GB2312"/>
          <w:color w:val="auto"/>
          <w:sz w:val="32"/>
          <w:szCs w:val="32"/>
        </w:rPr>
        <w:t>。</w:t>
      </w:r>
    </w:p>
    <w:p w14:paraId="3B8181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14:paraId="16F958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（一）绩效管理工作开展情况</w:t>
      </w:r>
    </w:p>
    <w:p w14:paraId="3ED8D3C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根据财政预算绩效管理要求，可按照如下格式说明：根据预算管理要求，我部门（单位）组织对</w:t>
      </w:r>
      <w:r>
        <w:rPr>
          <w:rFonts w:hint="default" w:ascii="仿宋_GB2312" w:eastAsia="仿宋_GB2312"/>
          <w:color w:val="auto"/>
          <w:sz w:val="32"/>
          <w:szCs w:val="32"/>
          <w:lang w:val="en-US"/>
        </w:rPr>
        <w:t>2024</w:t>
      </w:r>
      <w:r>
        <w:rPr>
          <w:rFonts w:hint="eastAsia" w:ascii="仿宋_GB2312" w:eastAsia="仿宋_GB2312"/>
          <w:color w:val="auto"/>
          <w:sz w:val="32"/>
          <w:szCs w:val="32"/>
        </w:rPr>
        <w:t>年度一般公共预算项目支出全面开展绩效自评</w:t>
      </w:r>
      <w:r>
        <w:rPr>
          <w:rFonts w:hint="default" w:ascii="仿宋_GB2312" w:eastAsia="仿宋_GB2312"/>
          <w:color w:val="auto"/>
          <w:sz w:val="32"/>
          <w:szCs w:val="32"/>
          <w:lang w:val="en-US"/>
        </w:rPr>
        <w:t>,</w:t>
      </w:r>
      <w:r>
        <w:rPr>
          <w:rFonts w:hint="eastAsia" w:ascii="仿宋_GB2312" w:eastAsia="仿宋_GB2312"/>
          <w:color w:val="auto"/>
          <w:sz w:val="32"/>
          <w:szCs w:val="32"/>
          <w:lang w:val="en-US" w:eastAsia="zh-CN"/>
        </w:rPr>
        <w:t>共涉及资金940.7万元，占一般公共预算项目支出总额的100%</w:t>
      </w:r>
      <w:r>
        <w:rPr>
          <w:rFonts w:hint="eastAsia" w:ascii="仿宋_GB2312" w:eastAsia="仿宋_GB2312"/>
          <w:color w:val="auto"/>
          <w:sz w:val="32"/>
          <w:szCs w:val="32"/>
        </w:rPr>
        <w:t>。</w:t>
      </w:r>
      <w:r>
        <w:rPr>
          <w:rFonts w:hint="eastAsia" w:ascii="仿宋_GB2312" w:eastAsia="仿宋_GB2312"/>
          <w:color w:val="auto"/>
          <w:sz w:val="32"/>
          <w:szCs w:val="32"/>
          <w:lang w:bidi="ar"/>
        </w:rPr>
        <w:t>组织对</w:t>
      </w:r>
      <w:r>
        <w:rPr>
          <w:rFonts w:hint="default" w:ascii="仿宋_GB2312" w:eastAsia="仿宋_GB2312"/>
          <w:color w:val="auto"/>
          <w:sz w:val="32"/>
          <w:szCs w:val="32"/>
          <w:lang w:val="en-US" w:bidi="ar"/>
        </w:rPr>
        <w:t>2024</w:t>
      </w:r>
      <w:r>
        <w:rPr>
          <w:rFonts w:hint="eastAsia" w:ascii="仿宋_GB2312" w:eastAsia="仿宋_GB2312"/>
          <w:color w:val="auto"/>
          <w:sz w:val="32"/>
          <w:szCs w:val="32"/>
          <w:lang w:bidi="ar"/>
        </w:rPr>
        <w:t>年度</w:t>
      </w:r>
      <w:r>
        <w:rPr>
          <w:rFonts w:hint="default" w:ascii="仿宋_GB2312" w:eastAsia="仿宋_GB2312"/>
          <w:color w:val="auto"/>
          <w:sz w:val="32"/>
          <w:szCs w:val="32"/>
          <w:lang w:val="en-US" w:bidi="ar"/>
        </w:rPr>
        <w:t>教育发展综合经费</w:t>
      </w:r>
      <w:r>
        <w:rPr>
          <w:rFonts w:hint="eastAsia" w:ascii="仿宋_GB2312" w:eastAsia="仿宋_GB2312"/>
          <w:color w:val="auto"/>
          <w:sz w:val="32"/>
          <w:szCs w:val="32"/>
          <w:lang w:bidi="ar"/>
        </w:rPr>
        <w:t>等</w:t>
      </w:r>
      <w:r>
        <w:rPr>
          <w:rFonts w:hint="eastAsia" w:ascii="仿宋_GB2312" w:eastAsia="仿宋_GB2312"/>
          <w:color w:val="auto"/>
          <w:sz w:val="32"/>
          <w:szCs w:val="32"/>
          <w:lang w:val="en-US" w:eastAsia="zh-CN" w:bidi="ar"/>
        </w:rPr>
        <w:t>1</w:t>
      </w:r>
      <w:r>
        <w:rPr>
          <w:rFonts w:hint="eastAsia" w:ascii="仿宋_GB2312" w:eastAsia="仿宋_GB2312"/>
          <w:color w:val="auto"/>
          <w:sz w:val="32"/>
          <w:szCs w:val="32"/>
          <w:lang w:bidi="ar"/>
        </w:rPr>
        <w:t>个政府性基金预算项目开展绩效自评，共涉及资金</w:t>
      </w:r>
      <w:r>
        <w:rPr>
          <w:rFonts w:hint="eastAsia" w:ascii="仿宋_GB2312" w:eastAsia="仿宋_GB2312"/>
          <w:color w:val="auto"/>
          <w:sz w:val="32"/>
          <w:szCs w:val="32"/>
          <w:lang w:val="en-US" w:eastAsia="zh-CN" w:bidi="ar"/>
        </w:rPr>
        <w:t>49.87</w:t>
      </w:r>
      <w:r>
        <w:rPr>
          <w:rFonts w:hint="eastAsia" w:ascii="仿宋_GB2312" w:eastAsia="仿宋_GB2312"/>
          <w:color w:val="auto"/>
          <w:sz w:val="32"/>
          <w:szCs w:val="32"/>
          <w:lang w:bidi="ar"/>
        </w:rPr>
        <w:t>万元，占政府性基金预算项目支出总额的</w:t>
      </w:r>
      <w:r>
        <w:rPr>
          <w:rFonts w:hint="eastAsia" w:ascii="仿宋_GB2312" w:eastAsia="仿宋_GB2312"/>
          <w:color w:val="auto"/>
          <w:sz w:val="32"/>
          <w:szCs w:val="32"/>
          <w:lang w:val="en-US" w:eastAsia="zh-CN" w:bidi="ar"/>
        </w:rPr>
        <w:t>100</w:t>
      </w:r>
      <w:r>
        <w:rPr>
          <w:rFonts w:hint="eastAsia" w:ascii="仿宋_GB2312" w:eastAsia="仿宋_GB2312"/>
          <w:color w:val="auto"/>
          <w:sz w:val="32"/>
          <w:szCs w:val="32"/>
          <w:lang w:bidi="ar"/>
        </w:rPr>
        <w:t>%。</w:t>
      </w:r>
    </w:p>
    <w:p w14:paraId="63E77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共组织对“</w:t>
      </w:r>
      <w:r>
        <w:rPr>
          <w:rFonts w:hint="default" w:ascii="仿宋_GB2312" w:eastAsia="仿宋_GB2312"/>
          <w:color w:val="auto"/>
          <w:sz w:val="32"/>
          <w:szCs w:val="32"/>
          <w:lang w:val="en-US"/>
        </w:rPr>
        <w:t>支持学前教育发展经费</w:t>
      </w:r>
      <w:r>
        <w:rPr>
          <w:rFonts w:hint="eastAsia" w:ascii="仿宋_GB2312" w:eastAsia="仿宋_GB2312"/>
          <w:color w:val="auto"/>
          <w:sz w:val="32"/>
          <w:szCs w:val="32"/>
          <w:lang w:val="en-US" w:eastAsia="zh-CN"/>
        </w:rPr>
        <w:t>、海口市港湾幼儿园保亭实验幼儿园改造项目、公办幼儿园生均公用经费补助、合作办学经费、公办幼儿园保育费</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个项目开展了部门评价，</w:t>
      </w:r>
      <w:r>
        <w:rPr>
          <w:rFonts w:hint="eastAsia" w:ascii="仿宋_GB2312" w:eastAsia="仿宋_GB2312"/>
          <w:color w:val="auto"/>
          <w:sz w:val="32"/>
          <w:szCs w:val="32"/>
          <w:lang w:bidi="ar"/>
        </w:rPr>
        <w:t>涉及一般公共预算支出</w:t>
      </w:r>
      <w:r>
        <w:rPr>
          <w:rFonts w:hint="eastAsia" w:ascii="仿宋_GB2312" w:eastAsia="仿宋_GB2312"/>
          <w:color w:val="auto"/>
          <w:sz w:val="32"/>
          <w:szCs w:val="32"/>
          <w:lang w:val="en-US" w:eastAsia="zh-CN" w:bidi="ar"/>
        </w:rPr>
        <w:t>940.7</w:t>
      </w:r>
      <w:r>
        <w:rPr>
          <w:rFonts w:hint="eastAsia" w:ascii="仿宋_GB2312" w:eastAsia="仿宋_GB2312"/>
          <w:color w:val="auto"/>
          <w:sz w:val="32"/>
          <w:szCs w:val="32"/>
          <w:lang w:bidi="ar"/>
        </w:rPr>
        <w:t>万元，政府性基金预算支出</w:t>
      </w:r>
      <w:r>
        <w:rPr>
          <w:rFonts w:hint="eastAsia" w:ascii="仿宋_GB2312" w:eastAsia="仿宋_GB2312"/>
          <w:color w:val="auto"/>
          <w:sz w:val="32"/>
          <w:szCs w:val="32"/>
          <w:lang w:val="en-US" w:eastAsia="zh-CN" w:bidi="ar"/>
        </w:rPr>
        <w:t>49.87</w:t>
      </w:r>
      <w:r>
        <w:rPr>
          <w:rFonts w:hint="eastAsia" w:ascii="仿宋_GB2312" w:eastAsia="仿宋_GB2312"/>
          <w:color w:val="auto"/>
          <w:sz w:val="32"/>
          <w:szCs w:val="32"/>
          <w:lang w:bidi="ar"/>
        </w:rPr>
        <w:t>万元</w:t>
      </w:r>
      <w:r>
        <w:rPr>
          <w:rFonts w:hint="eastAsia" w:ascii="仿宋_GB2312" w:eastAsia="仿宋_GB2312"/>
          <w:color w:val="auto"/>
          <w:sz w:val="32"/>
          <w:szCs w:val="32"/>
          <w:lang w:eastAsia="zh-CN" w:bidi="ar"/>
        </w:rPr>
        <w:t>。</w:t>
      </w:r>
    </w:p>
    <w:p w14:paraId="16FFC1C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color w:val="auto"/>
          <w:sz w:val="32"/>
          <w:szCs w:val="32"/>
        </w:rPr>
      </w:pPr>
      <w:r>
        <w:rPr>
          <w:rFonts w:hint="eastAsia" w:ascii="楷体" w:hAnsi="楷体" w:eastAsia="楷体" w:cs="楷体"/>
          <w:bCs/>
          <w:color w:val="auto"/>
          <w:sz w:val="32"/>
          <w:szCs w:val="32"/>
        </w:rPr>
        <w:t>（二）部门决算中项目绩效自评结果</w:t>
      </w:r>
    </w:p>
    <w:p w14:paraId="2072DA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我单位在部门决算中反映</w:t>
      </w:r>
      <w:r>
        <w:rPr>
          <w:rFonts w:hint="default" w:ascii="仿宋_GB2312" w:eastAsia="仿宋_GB2312"/>
          <w:color w:val="auto"/>
          <w:sz w:val="32"/>
          <w:szCs w:val="32"/>
          <w:lang w:val="en-US"/>
        </w:rPr>
        <w:t>支持学前教育发展经费、海口市港湾幼儿园保亭实验幼儿园改造项目、公办幼儿园生均公用经费补助、合作办学经费、公办幼儿园保育费</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个项目绩效自评结果（包括项目绩效自评表和项目绩效自评报告）。</w:t>
      </w:r>
    </w:p>
    <w:p w14:paraId="0667E4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23个</w:t>
      </w:r>
      <w:r>
        <w:rPr>
          <w:rFonts w:hint="eastAsia" w:ascii="仿宋_GB2312" w:eastAsia="仿宋_GB2312"/>
          <w:color w:val="auto"/>
          <w:sz w:val="32"/>
          <w:szCs w:val="32"/>
        </w:rPr>
        <w:t>项目绩效自评表：</w:t>
      </w:r>
    </w:p>
    <w:tbl>
      <w:tblPr>
        <w:tblStyle w:val="7"/>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1755"/>
        <w:gridCol w:w="690"/>
        <w:gridCol w:w="690"/>
        <w:gridCol w:w="675"/>
        <w:gridCol w:w="1650"/>
        <w:gridCol w:w="1650"/>
        <w:gridCol w:w="1215"/>
      </w:tblGrid>
      <w:tr w14:paraId="6EA23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EBEFF3" w:fill="EBEFF3"/>
            <w:vAlign w:val="center"/>
          </w:tcPr>
          <w:p w14:paraId="146CA06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EBEFF3" w:fill="EBEFF3"/>
            <w:vAlign w:val="center"/>
          </w:tcPr>
          <w:p w14:paraId="1513364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预算项目</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EBEFF3" w:fill="EBEFF3"/>
            <w:vAlign w:val="center"/>
          </w:tcPr>
          <w:p w14:paraId="7294345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评价阶段</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EBEFF3" w:fill="EBEFF3"/>
            <w:vAlign w:val="center"/>
          </w:tcPr>
          <w:p w14:paraId="3C90E7C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财政年度</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EBEFF3" w:fill="EBEFF3"/>
            <w:vAlign w:val="center"/>
          </w:tcPr>
          <w:p w14:paraId="6A68021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预算年度</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EBEFF3" w:fill="EBEFF3"/>
            <w:vAlign w:val="center"/>
          </w:tcPr>
          <w:p w14:paraId="6B17CDD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预算数</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EBEFF3" w:fill="EBEFF3"/>
            <w:vAlign w:val="center"/>
          </w:tcPr>
          <w:p w14:paraId="5A82979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c>
          <w:tcPr>
            <w:tcW w:w="1215" w:type="dxa"/>
            <w:tcBorders>
              <w:top w:val="single" w:color="000000" w:sz="4" w:space="0"/>
              <w:left w:val="single" w:color="000000" w:sz="4" w:space="0"/>
              <w:bottom w:val="single" w:color="000000" w:sz="4" w:space="0"/>
              <w:right w:val="single" w:color="000000" w:sz="4" w:space="0"/>
            </w:tcBorders>
            <w:shd w:val="clear" w:color="EBEFF3" w:fill="EBEFF3"/>
            <w:vAlign w:val="center"/>
          </w:tcPr>
          <w:p w14:paraId="580A232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绩效自评填报情况</w:t>
            </w:r>
          </w:p>
        </w:tc>
      </w:tr>
      <w:tr w14:paraId="6DA4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EBEFF3" w:fill="EBEFF3"/>
            <w:vAlign w:val="center"/>
          </w:tcPr>
          <w:p w14:paraId="4AD31818">
            <w:pPr>
              <w:jc w:val="center"/>
              <w:rPr>
                <w:rFonts w:hint="eastAsia" w:ascii="宋体" w:hAnsi="宋体" w:eastAsia="宋体" w:cs="宋体"/>
                <w:b/>
                <w:bCs/>
                <w:i w:val="0"/>
                <w:iCs w:val="0"/>
                <w:color w:val="auto"/>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EBEFF3" w:fill="EBEFF3"/>
            <w:vAlign w:val="center"/>
          </w:tcPr>
          <w:p w14:paraId="41A70F37">
            <w:pPr>
              <w:jc w:val="left"/>
              <w:rPr>
                <w:rFonts w:hint="eastAsia" w:ascii="宋体" w:hAnsi="宋体" w:eastAsia="宋体" w:cs="宋体"/>
                <w:b/>
                <w:bCs/>
                <w:i w:val="0"/>
                <w:iCs w:val="0"/>
                <w:color w:val="auto"/>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EBEFF3" w:fill="EBEFF3"/>
            <w:vAlign w:val="center"/>
          </w:tcPr>
          <w:p w14:paraId="50BC093A">
            <w:pPr>
              <w:jc w:val="center"/>
              <w:rPr>
                <w:rFonts w:hint="eastAsia" w:ascii="宋体" w:hAnsi="宋体" w:eastAsia="宋体" w:cs="宋体"/>
                <w:b/>
                <w:bCs/>
                <w:i w:val="0"/>
                <w:iCs w:val="0"/>
                <w:color w:val="auto"/>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EBEFF3" w:fill="EBEFF3"/>
            <w:vAlign w:val="center"/>
          </w:tcPr>
          <w:p w14:paraId="5D23A87B">
            <w:pPr>
              <w:jc w:val="center"/>
              <w:rPr>
                <w:rFonts w:hint="eastAsia" w:ascii="宋体" w:hAnsi="宋体" w:eastAsia="宋体" w:cs="宋体"/>
                <w:b/>
                <w:bCs/>
                <w:i w:val="0"/>
                <w:iCs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EBEFF3" w:fill="EBEFF3"/>
            <w:vAlign w:val="center"/>
          </w:tcPr>
          <w:p w14:paraId="69367DC3">
            <w:pPr>
              <w:jc w:val="center"/>
              <w:rPr>
                <w:rFonts w:hint="eastAsia" w:ascii="宋体" w:hAnsi="宋体" w:eastAsia="宋体" w:cs="宋体"/>
                <w:b/>
                <w:bCs/>
                <w:i w:val="0"/>
                <w:iCs w:val="0"/>
                <w:color w:val="auto"/>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EBEFF3" w:fill="EBEFF3"/>
            <w:vAlign w:val="center"/>
          </w:tcPr>
          <w:p w14:paraId="439D159A">
            <w:pPr>
              <w:jc w:val="center"/>
              <w:rPr>
                <w:rFonts w:hint="eastAsia" w:ascii="宋体" w:hAnsi="宋体" w:eastAsia="宋体" w:cs="宋体"/>
                <w:b/>
                <w:bCs/>
                <w:i w:val="0"/>
                <w:iCs w:val="0"/>
                <w:color w:val="auto"/>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EBEFF3" w:fill="EBEFF3"/>
            <w:vAlign w:val="center"/>
          </w:tcPr>
          <w:p w14:paraId="3E55232D">
            <w:pPr>
              <w:jc w:val="center"/>
              <w:rPr>
                <w:rFonts w:hint="eastAsia" w:ascii="宋体" w:hAnsi="宋体" w:eastAsia="宋体" w:cs="宋体"/>
                <w:b/>
                <w:bCs/>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EBEFF3" w:fill="EBEFF3"/>
            <w:noWrap/>
            <w:vAlign w:val="center"/>
          </w:tcPr>
          <w:p w14:paraId="222EE2E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r>
      <w:tr w14:paraId="11EFC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8EB5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7CE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支持学前教育发展经费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1E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AA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EF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D5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915,312.90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E9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863,231.60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5D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94.31%</w:t>
            </w:r>
          </w:p>
        </w:tc>
      </w:tr>
      <w:tr w14:paraId="730FE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94BA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7CA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海口市港湾幼儿园保亭实验幼儿园改造项目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7B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45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2B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3C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396,598.57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EB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396,598.57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C8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38E49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1E7E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663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公办幼儿园生均公用经费补助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4B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1A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2B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52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DD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70,807.83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6B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99.87%</w:t>
            </w:r>
          </w:p>
        </w:tc>
      </w:tr>
      <w:tr w14:paraId="7B409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E921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F4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合作办学经费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E2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BB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28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67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852,865.20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16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852,865.20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39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7970A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1439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A51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公办幼儿园保育费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E8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6E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17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EA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631,664.34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4E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631,664.34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EA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49303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ED42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A4F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编外人员支出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E3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1B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E2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A2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1,044,433.83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5A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1,044,433.83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EB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11358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A83C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837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党建工作经费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67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17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CE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81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AA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21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45883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F6DA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76E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工资奖金津补贴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77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2C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8B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FA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3,498,908.82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DE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3,498,908.82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0E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5700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DAE7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BE9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养老保险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6D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AC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97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C3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439,420.68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6B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439,420.68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8D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69D53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90A5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2E5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职业年金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68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C0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5D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CF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219,709.92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89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219,709.92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A4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5A0A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E328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CEB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B6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30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4F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A6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179,007.14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AA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179,007.14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EE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38DA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C4BD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0D2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C5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EA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58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BB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299,589.30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D9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299,589.30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AC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01B8B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4A36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7CA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失业保险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F2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D5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8C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62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11,958.38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0A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11,958.38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ED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0155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A259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271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工伤保险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F1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AC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C2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91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1,793.78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03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1,793.78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CD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49DA1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A0F9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B4D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23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92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2B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82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375,109.00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5B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375,109.00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D6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5BF38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F174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0D1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公用经费定额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E5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48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94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42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63,258.48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3B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63,258.48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17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047A9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8AEE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2C2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班主任津贴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24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06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15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FA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43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39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007C7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673F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CC3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学前免费教育费用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E7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EA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C6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88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93,125.84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31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93,125.84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A6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0EED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F307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169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公办幼儿园公用经费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D5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9A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F2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5C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142,451.59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0A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142,451.59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A6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20A79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73DA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19D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教育发展综合经费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B6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BC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05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D4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498,702.00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47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498,702.00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7C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2B7A3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2DA5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B48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学前教育幼儿资助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0D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53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7D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AD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44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17,907.84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28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81.27%</w:t>
            </w:r>
          </w:p>
        </w:tc>
      </w:tr>
      <w:tr w14:paraId="51E5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D46D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767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支持学前教育发展资金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14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0D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62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97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75,692.50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84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75,692.50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63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7CC0F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BAB5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FE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教育发展资金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0B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41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CA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64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5,945.93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E2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5,942.36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C0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99.94%</w:t>
            </w:r>
          </w:p>
        </w:tc>
      </w:tr>
      <w:tr w14:paraId="05F74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B900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A7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9,905,711.20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15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9,849,407.00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B154">
            <w:pPr>
              <w:jc w:val="center"/>
              <w:rPr>
                <w:rFonts w:hint="eastAsia" w:ascii="宋体" w:hAnsi="宋体" w:eastAsia="宋体" w:cs="宋体"/>
                <w:i w:val="0"/>
                <w:iCs w:val="0"/>
                <w:color w:val="auto"/>
                <w:sz w:val="22"/>
                <w:szCs w:val="22"/>
                <w:u w:val="none"/>
              </w:rPr>
            </w:pPr>
          </w:p>
        </w:tc>
      </w:tr>
    </w:tbl>
    <w:p w14:paraId="1752048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color w:val="auto"/>
          <w:sz w:val="32"/>
          <w:szCs w:val="32"/>
          <w:lang w:val="en-US" w:eastAsia="zh-CN"/>
        </w:rPr>
        <w:t>23个</w:t>
      </w:r>
      <w:r>
        <w:rPr>
          <w:rFonts w:hint="eastAsia" w:ascii="仿宋_GB2312" w:eastAsia="仿宋_GB2312"/>
          <w:color w:val="auto"/>
          <w:sz w:val="32"/>
          <w:szCs w:val="32"/>
        </w:rPr>
        <w:t>项目绩效自评报告：根据年初设定的绩效目标，项目绩效自评得分为</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分。全年预算数为</w:t>
      </w:r>
      <w:r>
        <w:rPr>
          <w:rFonts w:hint="eastAsia" w:ascii="仿宋_GB2312" w:eastAsia="仿宋_GB2312"/>
          <w:color w:val="auto"/>
          <w:sz w:val="32"/>
          <w:szCs w:val="32"/>
          <w:lang w:val="en-US" w:eastAsia="zh-CN"/>
        </w:rPr>
        <w:t>990.57</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984.95</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99.43</w:t>
      </w:r>
      <w:r>
        <w:rPr>
          <w:rFonts w:hint="eastAsia" w:ascii="仿宋_GB2312" w:eastAsia="仿宋_GB2312"/>
          <w:color w:val="auto"/>
          <w:sz w:val="32"/>
          <w:szCs w:val="32"/>
        </w:rPr>
        <w:t>%。项目绩效目标完成情况：一是</w:t>
      </w:r>
      <w:r>
        <w:rPr>
          <w:rFonts w:hint="eastAsia" w:ascii="仿宋_GB2312" w:eastAsia="仿宋_GB2312"/>
          <w:color w:val="auto"/>
          <w:sz w:val="32"/>
          <w:szCs w:val="32"/>
          <w:lang w:eastAsia="zh-CN"/>
        </w:rPr>
        <w:t>人员待遇得到保障</w:t>
      </w:r>
      <w:r>
        <w:rPr>
          <w:rFonts w:hint="eastAsia" w:ascii="仿宋_GB2312" w:eastAsia="仿宋_GB2312"/>
          <w:color w:val="auto"/>
          <w:sz w:val="32"/>
          <w:szCs w:val="32"/>
        </w:rPr>
        <w:t>；二是</w:t>
      </w:r>
      <w:r>
        <w:rPr>
          <w:rFonts w:hint="eastAsia" w:ascii="仿宋_GB2312" w:eastAsia="仿宋_GB2312"/>
          <w:color w:val="auto"/>
          <w:sz w:val="32"/>
          <w:szCs w:val="32"/>
          <w:lang w:eastAsia="zh-CN"/>
        </w:rPr>
        <w:t>园所改造工程完结；三是教育质量得到提示</w:t>
      </w:r>
      <w:r>
        <w:rPr>
          <w:rFonts w:hint="eastAsia" w:ascii="仿宋_GB2312" w:eastAsia="仿宋_GB2312"/>
          <w:color w:val="auto"/>
          <w:sz w:val="32"/>
          <w:szCs w:val="32"/>
        </w:rPr>
        <w:t>。发现的主要问题及原因：一是预算编制不够准确；二是资金支出进度缓慢</w:t>
      </w:r>
      <w:r>
        <w:rPr>
          <w:rFonts w:hint="eastAsia" w:ascii="仿宋_GB2312" w:eastAsia="仿宋_GB2312"/>
          <w:color w:val="auto"/>
          <w:sz w:val="32"/>
          <w:szCs w:val="32"/>
          <w:lang w:eastAsia="zh-CN"/>
        </w:rPr>
        <w:t>；三是</w:t>
      </w:r>
      <w:r>
        <w:rPr>
          <w:rFonts w:ascii="仿宋_GB2312" w:hAnsi="宋体" w:eastAsia="仿宋_GB2312" w:cs="仿宋_GB2312"/>
          <w:i w:val="0"/>
          <w:iCs w:val="0"/>
          <w:caps w:val="0"/>
          <w:color w:val="auto"/>
          <w:spacing w:val="0"/>
          <w:sz w:val="31"/>
          <w:szCs w:val="31"/>
          <w:shd w:val="clear" w:fill="FFFFFF"/>
        </w:rPr>
        <w:t>对资金的使用规划和监控存在不足，未能及时调整和优化资金分配，以确保预算的完全执行</w:t>
      </w:r>
      <w:r>
        <w:rPr>
          <w:rFonts w:hint="eastAsia" w:ascii="仿宋_GB2312" w:eastAsia="仿宋_GB2312"/>
          <w:color w:val="auto"/>
          <w:sz w:val="32"/>
          <w:szCs w:val="32"/>
        </w:rPr>
        <w:t>。下</w:t>
      </w:r>
      <w:r>
        <w:rPr>
          <w:rFonts w:hint="eastAsia" w:ascii="仿宋_GB2312" w:eastAsia="仿宋_GB2312"/>
          <w:sz w:val="32"/>
          <w:szCs w:val="32"/>
        </w:rPr>
        <w:t>一步改进措施：</w:t>
      </w:r>
      <w:r>
        <w:rPr>
          <w:rFonts w:hint="eastAsia" w:ascii="仿宋_GB2312" w:eastAsia="仿宋_GB2312"/>
          <w:sz w:val="32"/>
          <w:szCs w:val="32"/>
          <w:lang w:eastAsia="zh-CN"/>
        </w:rPr>
        <w:t>一</w:t>
      </w:r>
      <w:r>
        <w:rPr>
          <w:rFonts w:hint="eastAsia" w:ascii="仿宋_GB2312" w:eastAsia="仿宋_GB2312"/>
          <w:sz w:val="32"/>
          <w:szCs w:val="32"/>
        </w:rPr>
        <w:t>是加强执行监控，跟踪分析执行情况，合理安排资金支付，确保进度均衡，提高执行效率和绩效水平</w:t>
      </w:r>
      <w:r>
        <w:rPr>
          <w:rFonts w:hint="eastAsia" w:ascii="仿宋_GB2312" w:eastAsia="仿宋_GB2312"/>
          <w:sz w:val="32"/>
          <w:szCs w:val="32"/>
          <w:lang w:eastAsia="zh-CN"/>
        </w:rPr>
        <w:t>；二是加强和规范预算编制；三是推进各预算项目的支出进度</w:t>
      </w:r>
      <w:r>
        <w:rPr>
          <w:rFonts w:hint="eastAsia" w:ascii="仿宋_GB2312" w:eastAsia="仿宋_GB2312"/>
          <w:sz w:val="32"/>
          <w:szCs w:val="32"/>
        </w:rPr>
        <w:t>。</w:t>
      </w:r>
    </w:p>
    <w:p w14:paraId="08AEFB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（三）部门评价结果</w:t>
      </w:r>
    </w:p>
    <w:p w14:paraId="01C1BC6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无。</w:t>
      </w:r>
    </w:p>
    <w:p w14:paraId="52EA42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（四）财政评价结果</w:t>
      </w:r>
    </w:p>
    <w:p w14:paraId="7B0BCD6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zh-CN"/>
        </w:rPr>
        <w:t>无。</w:t>
      </w:r>
    </w:p>
    <w:p w14:paraId="7FDC30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14:paraId="42D67D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5" w:name="_Toc32639_WPSOffice_Level2"/>
      <w:bookmarkStart w:id="96" w:name="_Toc5978_WPSOffice_Level2"/>
      <w:bookmarkStart w:id="97" w:name="_Toc18325_WPSOffice_Level2"/>
      <w:bookmarkStart w:id="98" w:name="_Toc23598_WPSOffice_Level2"/>
      <w:bookmarkStart w:id="99" w:name="_Toc15262_WPSOffice_Level2"/>
      <w:bookmarkStart w:id="100" w:name="_Toc15565_WPSOffice_Level2"/>
      <w:r>
        <w:rPr>
          <w:rFonts w:hint="eastAsia" w:ascii="楷体" w:hAnsi="楷体" w:eastAsia="楷体" w:cs="楷体"/>
          <w:bCs/>
          <w:sz w:val="32"/>
          <w:szCs w:val="32"/>
        </w:rPr>
        <w:t>（一）机关运行经费支出情况</w:t>
      </w:r>
      <w:bookmarkEnd w:id="95"/>
      <w:bookmarkEnd w:id="96"/>
      <w:bookmarkEnd w:id="97"/>
      <w:bookmarkEnd w:id="98"/>
      <w:bookmarkEnd w:id="99"/>
      <w:bookmarkEnd w:id="100"/>
    </w:p>
    <w:p w14:paraId="100BBB7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无此类事项</w:t>
      </w:r>
      <w:r>
        <w:rPr>
          <w:rFonts w:hint="default" w:ascii="仿宋_GB2312" w:hAnsi="ˎ̥" w:eastAsia="仿宋_GB2312"/>
          <w:sz w:val="32"/>
          <w:szCs w:val="32"/>
          <w:lang w:val="en-US"/>
        </w:rPr>
        <w:t>。</w:t>
      </w:r>
    </w:p>
    <w:p w14:paraId="32FB8A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1" w:name="_Toc25333_WPSOffice_Level2"/>
      <w:bookmarkStart w:id="102" w:name="_Toc13084_WPSOffice_Level2"/>
      <w:bookmarkStart w:id="103" w:name="_Toc23966_WPSOffice_Level2"/>
      <w:bookmarkStart w:id="104" w:name="_Toc3131_WPSOffice_Level2"/>
      <w:bookmarkStart w:id="105" w:name="_Toc30383_WPSOffice_Level2"/>
      <w:bookmarkStart w:id="106" w:name="_Toc32689_WPSOffice_Level2"/>
      <w:r>
        <w:rPr>
          <w:rFonts w:hint="eastAsia" w:ascii="楷体" w:hAnsi="楷体" w:eastAsia="楷体" w:cs="楷体"/>
          <w:bCs/>
          <w:sz w:val="32"/>
          <w:szCs w:val="32"/>
        </w:rPr>
        <w:t>（二）政府采购支出情况</w:t>
      </w:r>
      <w:bookmarkEnd w:id="101"/>
      <w:bookmarkEnd w:id="102"/>
      <w:bookmarkEnd w:id="103"/>
      <w:bookmarkEnd w:id="104"/>
      <w:bookmarkEnd w:id="105"/>
      <w:bookmarkEnd w:id="106"/>
    </w:p>
    <w:p w14:paraId="5D7FFAF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无此类事项</w:t>
      </w:r>
      <w:r>
        <w:rPr>
          <w:rFonts w:hint="default" w:ascii="仿宋_GB2312" w:hAnsi="ˎ̥" w:eastAsia="仿宋_GB2312"/>
          <w:sz w:val="32"/>
          <w:szCs w:val="32"/>
          <w:lang w:val="en-US"/>
        </w:rPr>
        <w:t>。</w:t>
      </w:r>
    </w:p>
    <w:p w14:paraId="3061DC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7" w:name="_Toc6016_WPSOffice_Level2"/>
      <w:bookmarkStart w:id="108" w:name="_Toc527_WPSOffice_Level2"/>
      <w:bookmarkStart w:id="109" w:name="_Toc29584_WPSOffice_Level2"/>
      <w:bookmarkStart w:id="110" w:name="_Toc15129_WPSOffice_Level2"/>
      <w:bookmarkStart w:id="111" w:name="_Toc19989_WPSOffice_Level2"/>
      <w:bookmarkStart w:id="112" w:name="_Toc10902_WPSOffice_Level2"/>
      <w:r>
        <w:rPr>
          <w:rFonts w:hint="eastAsia" w:ascii="楷体" w:hAnsi="楷体" w:eastAsia="楷体" w:cs="楷体"/>
          <w:bCs/>
          <w:sz w:val="32"/>
          <w:szCs w:val="32"/>
        </w:rPr>
        <w:t>（三）国有资产占用情况</w:t>
      </w:r>
      <w:bookmarkEnd w:id="107"/>
      <w:bookmarkEnd w:id="108"/>
      <w:bookmarkEnd w:id="109"/>
      <w:bookmarkEnd w:id="110"/>
      <w:bookmarkEnd w:id="111"/>
      <w:bookmarkEnd w:id="112"/>
    </w:p>
    <w:p w14:paraId="5CD2E30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sz w:val="32"/>
          <w:szCs w:val="32"/>
        </w:rPr>
      </w:pPr>
      <w:r>
        <w:rPr>
          <w:rFonts w:hint="eastAsia" w:ascii="仿宋_GB2312" w:hAnsi="ˎ̥" w:eastAsia="仿宋_GB2312"/>
          <w:bCs/>
          <w:sz w:val="32"/>
          <w:szCs w:val="32"/>
        </w:rPr>
        <w:t>截至202</w:t>
      </w:r>
      <w:r>
        <w:rPr>
          <w:rFonts w:hint="eastAsia" w:ascii="仿宋_GB2312" w:hAnsi="ˎ̥" w:eastAsia="仿宋_GB2312"/>
          <w:bCs/>
          <w:sz w:val="32"/>
          <w:szCs w:val="32"/>
          <w:lang w:val="en-US" w:eastAsia="zh-CN"/>
        </w:rPr>
        <w:t>4</w:t>
      </w:r>
      <w:r>
        <w:rPr>
          <w:rFonts w:hint="eastAsia" w:ascii="仿宋_GB2312" w:hAnsi="ˎ̥" w:eastAsia="仿宋_GB2312"/>
          <w:bCs/>
          <w:sz w:val="32"/>
          <w:szCs w:val="32"/>
        </w:rPr>
        <w:t>年12月31日，本单位拥有房屋面积488.35平方米，其中：办公用房3910.2平方米，业务用房266.35平方米，教职工宿舍楼709.26平方米，其他（不含构筑物）2295.6平方米。</w:t>
      </w:r>
    </w:p>
    <w:p w14:paraId="71EADDF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sz w:val="32"/>
          <w:szCs w:val="32"/>
        </w:rPr>
      </w:pPr>
      <w:r>
        <w:rPr>
          <w:rFonts w:hint="eastAsia" w:ascii="仿宋_GB2312" w:hAnsi="ˎ̥" w:eastAsia="仿宋_GB2312"/>
          <w:bCs/>
          <w:sz w:val="32"/>
          <w:szCs w:val="32"/>
        </w:rPr>
        <w:t>本部门共有车辆0辆，单价100万元（含）以上设备（不含车辆）0台（套）。</w:t>
      </w:r>
    </w:p>
    <w:p w14:paraId="20F5AB1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bookmarkStart w:id="113" w:name="_Toc17580_WPSOffice_Level1"/>
      <w:bookmarkStart w:id="114" w:name="_Toc8808_WPSOffice_Level1"/>
      <w:bookmarkStart w:id="115" w:name="_Toc11039_WPSOffice_Level1"/>
      <w:bookmarkStart w:id="116" w:name="_Toc4398_WPSOffice_Level1"/>
      <w:bookmarkStart w:id="117" w:name="_Toc15425_WPSOffice_Level1"/>
      <w:bookmarkStart w:id="118" w:name="_Toc8874_WPSOffice_Level1"/>
    </w:p>
    <w:p w14:paraId="7D7EA2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3"/>
      <w:bookmarkEnd w:id="114"/>
      <w:bookmarkEnd w:id="115"/>
      <w:bookmarkEnd w:id="116"/>
      <w:bookmarkEnd w:id="117"/>
      <w:bookmarkEnd w:id="118"/>
    </w:p>
    <w:p w14:paraId="20DF719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70B2D6DD">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7CB011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615F44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2DDD1A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1C1D4A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2FC80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742CA9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28F678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532391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63B3F8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023674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72D514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7314EB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1ACBFE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101C4972">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58E9525B">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14:paraId="30AEBFAE">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教育支出普通教育学前教育</w:t>
      </w:r>
      <w:r>
        <w:rPr>
          <w:rFonts w:hint="eastAsia" w:ascii="仿宋_GB2312" w:hAnsi="ˎ̥" w:eastAsia="仿宋_GB2312"/>
          <w:color w:val="auto"/>
          <w:sz w:val="32"/>
          <w:szCs w:val="32"/>
          <w:lang w:eastAsia="zh-CN"/>
        </w:rPr>
        <w:t>：反映公办幼儿园正常运转、提供普惠性学前教育的各项资金支出；</w:t>
      </w:r>
    </w:p>
    <w:p w14:paraId="4FB01A73">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教育支出教育管理事务其他教育管理事务支出</w:t>
      </w:r>
      <w:r>
        <w:rPr>
          <w:rFonts w:hint="eastAsia" w:ascii="仿宋_GB2312" w:hAnsi="ˎ̥" w:eastAsia="仿宋_GB2312"/>
          <w:color w:val="auto"/>
          <w:sz w:val="32"/>
          <w:szCs w:val="32"/>
          <w:lang w:eastAsia="zh-CN"/>
        </w:rPr>
        <w:t>：反映单位为了组织、管理、指导和保障单位内党建工作的顺利开展而发生的费用；</w:t>
      </w:r>
    </w:p>
    <w:p w14:paraId="09E3210A">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lang w:eastAsia="zh-CN"/>
        </w:rPr>
        <w:t>社会</w:t>
      </w:r>
      <w:r>
        <w:rPr>
          <w:rFonts w:hint="eastAsia" w:ascii="仿宋_GB2312" w:hAnsi="ˎ̥" w:eastAsia="仿宋_GB2312"/>
          <w:color w:val="auto"/>
          <w:sz w:val="32"/>
          <w:szCs w:val="32"/>
        </w:rPr>
        <w:t>保障和就业支出行政事业</w:t>
      </w:r>
      <w:bookmarkStart w:id="119" w:name="_GoBack"/>
      <w:bookmarkEnd w:id="119"/>
      <w:r>
        <w:rPr>
          <w:rFonts w:hint="eastAsia" w:ascii="仿宋_GB2312" w:hAnsi="ˎ̥" w:eastAsia="仿宋_GB2312"/>
          <w:color w:val="auto"/>
          <w:sz w:val="32"/>
          <w:szCs w:val="32"/>
        </w:rPr>
        <w:t>单位养老支出机关事业单位基本养老保险缴费支出</w:t>
      </w:r>
      <w:r>
        <w:rPr>
          <w:rFonts w:hint="eastAsia" w:ascii="仿宋_GB2312" w:hAnsi="ˎ̥" w:eastAsia="仿宋_GB2312"/>
          <w:color w:val="auto"/>
          <w:sz w:val="32"/>
          <w:szCs w:val="32"/>
          <w:lang w:eastAsia="zh-CN"/>
        </w:rPr>
        <w:t>：反映机关事业单位实施养老保险制度由单位缴纳的基本养老保险费支出；</w:t>
      </w:r>
    </w:p>
    <w:p w14:paraId="7E57553E">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lang w:eastAsia="zh-CN"/>
        </w:rPr>
        <w:t>社会</w:t>
      </w:r>
      <w:r>
        <w:rPr>
          <w:rFonts w:hint="eastAsia" w:ascii="仿宋_GB2312" w:hAnsi="ˎ̥" w:eastAsia="仿宋_GB2312"/>
          <w:color w:val="auto"/>
          <w:sz w:val="32"/>
          <w:szCs w:val="32"/>
        </w:rPr>
        <w:t>保障和就业支出行政事业单位养老支出机关事业单位职业年金缴费支出</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反映机关事业单位实施养老保险制度由单位缴纳的职业年金支出</w:t>
      </w:r>
      <w:r>
        <w:rPr>
          <w:rFonts w:hint="eastAsia" w:ascii="仿宋_GB2312" w:hAnsi="ˎ̥" w:eastAsia="仿宋_GB2312"/>
          <w:color w:val="auto"/>
          <w:sz w:val="32"/>
          <w:szCs w:val="32"/>
          <w:lang w:eastAsia="zh-CN"/>
        </w:rPr>
        <w:t>；</w:t>
      </w:r>
    </w:p>
    <w:p w14:paraId="793781BC">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FF0000"/>
          <w:sz w:val="32"/>
          <w:szCs w:val="32"/>
          <w:lang w:eastAsia="zh-CN"/>
        </w:rPr>
      </w:pPr>
      <w:r>
        <w:rPr>
          <w:rFonts w:hint="eastAsia" w:ascii="仿宋_GB2312" w:hAnsi="ˎ̥" w:eastAsia="仿宋_GB2312"/>
          <w:color w:val="auto"/>
          <w:sz w:val="32"/>
          <w:szCs w:val="32"/>
        </w:rPr>
        <w:t>卫生健康支出行政事业单位医疗事业单位医疗</w:t>
      </w:r>
      <w:r>
        <w:rPr>
          <w:rFonts w:hint="eastAsia" w:ascii="仿宋_GB2312" w:hAnsi="ˎ̥" w:eastAsia="仿宋_GB2312"/>
          <w:color w:val="auto"/>
          <w:sz w:val="32"/>
          <w:szCs w:val="32"/>
          <w:lang w:eastAsia="zh-CN"/>
        </w:rPr>
        <w:t>：反映由单位缴纳的、纳入单位职工基本医疗保险缴费基数的在职人员的职工基本医疗保险费支出；</w:t>
      </w:r>
    </w:p>
    <w:p w14:paraId="708A6527">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卫生健康支出行政事业单位医疗公务医疗补助</w:t>
      </w:r>
      <w:r>
        <w:rPr>
          <w:rFonts w:hint="eastAsia" w:ascii="仿宋_GB2312" w:hAnsi="ˎ̥" w:eastAsia="仿宋_GB2312"/>
          <w:color w:val="auto"/>
          <w:sz w:val="32"/>
          <w:szCs w:val="32"/>
          <w:lang w:eastAsia="zh-CN"/>
        </w:rPr>
        <w:t>：反映财政部门安排的公务员医疗补助经费；</w:t>
      </w:r>
    </w:p>
    <w:p w14:paraId="6BBC3EA2">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城乡社区支出国有土地使用权出让收入安排的支出其他国有土地使用权出让收入安排的支出</w:t>
      </w:r>
      <w:r>
        <w:rPr>
          <w:rFonts w:hint="eastAsia" w:ascii="仿宋_GB2312" w:hAnsi="ˎ̥" w:eastAsia="仿宋_GB2312"/>
          <w:color w:val="auto"/>
          <w:sz w:val="32"/>
          <w:szCs w:val="32"/>
          <w:lang w:eastAsia="zh-CN"/>
        </w:rPr>
        <w:t>：反映使用土地出让收益来支持公办幼儿园建设、扩建或维修的相关支出；</w:t>
      </w:r>
    </w:p>
    <w:p w14:paraId="50235E89">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FF0000"/>
          <w:sz w:val="32"/>
          <w:szCs w:val="32"/>
          <w:lang w:eastAsia="zh-CN"/>
        </w:rPr>
      </w:pPr>
      <w:r>
        <w:rPr>
          <w:rFonts w:hint="eastAsia" w:ascii="仿宋_GB2312" w:hAnsi="ˎ̥" w:eastAsia="仿宋_GB2312"/>
          <w:color w:val="auto"/>
          <w:sz w:val="32"/>
          <w:szCs w:val="32"/>
        </w:rPr>
        <w:t>住房保障支出住房改革支出住房公积金</w:t>
      </w:r>
      <w:r>
        <w:rPr>
          <w:rFonts w:hint="eastAsia" w:ascii="仿宋_GB2312" w:hAnsi="ˎ̥" w:eastAsia="仿宋_GB2312"/>
          <w:color w:val="auto"/>
          <w:sz w:val="32"/>
          <w:szCs w:val="32"/>
          <w:lang w:eastAsia="zh-CN"/>
        </w:rPr>
        <w:t>：反映机关事业单位按人力资源和社会保障部、财政部规定的基本工资和津贴补贴以及规定比例为职工缴纳的住房公积金。</w:t>
      </w:r>
    </w:p>
    <w:p w14:paraId="419A08C7">
      <w:pPr>
        <w:keepNext w:val="0"/>
        <w:keepLines w:val="0"/>
        <w:pageBreakBefore w:val="0"/>
        <w:widowControl w:val="0"/>
        <w:kinsoku/>
        <w:wordWrap/>
        <w:overflowPunct/>
        <w:topLinePunct w:val="0"/>
        <w:autoSpaceDE/>
        <w:autoSpaceDN/>
        <w:bidi w:val="0"/>
        <w:adjustRightInd/>
        <w:snapToGrid/>
        <w:spacing w:line="578" w:lineRule="exact"/>
        <w:textAlignment w:val="auto"/>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E08A">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14:paraId="1BD1ED8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F60F">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07FD915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72109F8D"/>
    <w:multiLevelType w:val="singleLevel"/>
    <w:tmpl w:val="72109F8D"/>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9201287"/>
    <w:rsid w:val="0FC80124"/>
    <w:rsid w:val="136F98C7"/>
    <w:rsid w:val="17427E68"/>
    <w:rsid w:val="1755065F"/>
    <w:rsid w:val="1AFC29C9"/>
    <w:rsid w:val="1CA52F2E"/>
    <w:rsid w:val="1E3630B9"/>
    <w:rsid w:val="26EEC2B5"/>
    <w:rsid w:val="29472309"/>
    <w:rsid w:val="2B406E77"/>
    <w:rsid w:val="2C2A0C43"/>
    <w:rsid w:val="2CEE645F"/>
    <w:rsid w:val="2D1E73A5"/>
    <w:rsid w:val="32717154"/>
    <w:rsid w:val="34B63260"/>
    <w:rsid w:val="37FDA7E2"/>
    <w:rsid w:val="398C4AF3"/>
    <w:rsid w:val="3A314D88"/>
    <w:rsid w:val="3A746883"/>
    <w:rsid w:val="3CA15DE9"/>
    <w:rsid w:val="3E0418F3"/>
    <w:rsid w:val="3FE61EE5"/>
    <w:rsid w:val="406508EE"/>
    <w:rsid w:val="408D6263"/>
    <w:rsid w:val="41B40CEE"/>
    <w:rsid w:val="42E96D2F"/>
    <w:rsid w:val="47790654"/>
    <w:rsid w:val="48317291"/>
    <w:rsid w:val="485F7024"/>
    <w:rsid w:val="48E70666"/>
    <w:rsid w:val="4C6877E5"/>
    <w:rsid w:val="4D6A468D"/>
    <w:rsid w:val="4EA86137"/>
    <w:rsid w:val="56CA7FD0"/>
    <w:rsid w:val="57FA38D1"/>
    <w:rsid w:val="5F7D3333"/>
    <w:rsid w:val="61385890"/>
    <w:rsid w:val="63991B77"/>
    <w:rsid w:val="687436E1"/>
    <w:rsid w:val="6DA45C50"/>
    <w:rsid w:val="6DC93967"/>
    <w:rsid w:val="6E9A7825"/>
    <w:rsid w:val="6F670F9B"/>
    <w:rsid w:val="737450E0"/>
    <w:rsid w:val="74054476"/>
    <w:rsid w:val="742F38C4"/>
    <w:rsid w:val="74AB66DC"/>
    <w:rsid w:val="74C4154C"/>
    <w:rsid w:val="75956FFF"/>
    <w:rsid w:val="77AA2D01"/>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3502</Words>
  <Characters>3938</Characters>
  <Lines>67</Lines>
  <Paragraphs>18</Paragraphs>
  <TotalTime>9</TotalTime>
  <ScaleCrop>false</ScaleCrop>
  <LinksUpToDate>false</LinksUpToDate>
  <CharactersWithSpaces>3993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zjx</cp:lastModifiedBy>
  <cp:lastPrinted>2023-08-03T00:58:00Z</cp:lastPrinted>
  <dcterms:modified xsi:type="dcterms:W3CDTF">2025-09-04T14:03:04Z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96DBF503C61147C8AD6D54782B379957_13</vt:lpwstr>
  </property>
  <property fmtid="{D5CDD505-2E9C-101B-9397-08002B2CF9AE}" pid="4" name="KSOTemplateDocerSaveRecord">
    <vt:lpwstr>eyJoZGlkIjoiMjI5NjA4MDg3ZDg3NmIzYzU2ZjNjZDZmYjdkNzlkNTciLCJ1c2VySWQiOiIyNDg4MjIzMjIifQ==</vt:lpwstr>
  </property>
</Properties>
</file>