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7F6F">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保亭黎族苗族自治县保亭中学2024年度部门决算公开报告</w:t>
      </w:r>
    </w:p>
    <w:p w14:paraId="3F3554A1">
      <w:pPr>
        <w:spacing w:line="578" w:lineRule="exact"/>
        <w:jc w:val="center"/>
        <w:rPr>
          <w:rFonts w:hint="eastAsia" w:ascii="黑体" w:hAnsi="ˎ̥" w:eastAsia="黑体"/>
          <w:b/>
          <w:sz w:val="32"/>
          <w:szCs w:val="32"/>
        </w:rPr>
      </w:pPr>
    </w:p>
    <w:p w14:paraId="2F9AAA22">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目录</w:t>
      </w:r>
    </w:p>
    <w:p w14:paraId="7A477A85">
      <w:pPr>
        <w:pStyle w:val="20"/>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第一部分基本情况</w:t>
      </w:r>
      <w:r>
        <w:rPr>
          <w:color w:val="auto"/>
          <w:sz w:val="32"/>
          <w:szCs w:val="32"/>
        </w:rPr>
        <w:tab/>
      </w:r>
      <w:r>
        <w:rPr>
          <w:color w:val="auto"/>
          <w:sz w:val="32"/>
          <w:szCs w:val="32"/>
        </w:rPr>
        <w:fldChar w:fldCharType="end"/>
      </w:r>
      <w:r>
        <w:rPr>
          <w:rFonts w:hint="eastAsia"/>
          <w:color w:val="auto"/>
          <w:sz w:val="32"/>
          <w:szCs w:val="32"/>
        </w:rPr>
        <w:t>2</w:t>
      </w:r>
    </w:p>
    <w:p w14:paraId="5CDCAB6B">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47B1B87C">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49FDC07E">
      <w:pPr>
        <w:pStyle w:val="20"/>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第二部分</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03695A18">
      <w:pPr>
        <w:pStyle w:val="20"/>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36DEBE34">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4065F9FB">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2C15B19D">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68B8DA57">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53742CAD">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DE0DEDC">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7E8F33E7">
      <w:pPr>
        <w:pStyle w:val="21"/>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14AD7BC7">
      <w:pPr>
        <w:pStyle w:val="21"/>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5E86CC3D">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539AA590">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25DD3784">
      <w:pPr>
        <w:pStyle w:val="21"/>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70DDC514">
      <w:pPr>
        <w:pStyle w:val="20"/>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14:paraId="3C50385A">
      <w:pPr>
        <w:spacing w:line="578" w:lineRule="exact"/>
        <w:jc w:val="both"/>
        <w:rPr>
          <w:rFonts w:hint="eastAsia" w:ascii="黑体" w:hAnsi="ˎ̥" w:eastAsia="黑体"/>
          <w:color w:val="auto"/>
          <w:sz w:val="32"/>
          <w:szCs w:val="32"/>
        </w:rPr>
      </w:pPr>
      <w:bookmarkStart w:id="2" w:name="_Toc22941_WPSOffice_Level1"/>
      <w:bookmarkStart w:id="3" w:name="_Toc10720_WPSOffice_Level1"/>
      <w:bookmarkStart w:id="4" w:name="_Toc32433_WPSOffice_Level1"/>
      <w:bookmarkStart w:id="5" w:name="_Toc10049_WPSOffice_Level1"/>
      <w:bookmarkStart w:id="6" w:name="_Toc1704_WPSOffice_Level1"/>
      <w:bookmarkStart w:id="7" w:name="_Toc23465_WPSOffice_Level1"/>
      <w:bookmarkStart w:id="8" w:name="_Toc24238_WPSOffice_Level2"/>
      <w:bookmarkStart w:id="9" w:name="_Toc20205_WPSOffice_Level2"/>
      <w:bookmarkStart w:id="10" w:name="_Toc26580_WPSOffice_Level2"/>
      <w:bookmarkStart w:id="11" w:name="_Toc32622_WPSOffice_Level2"/>
      <w:bookmarkStart w:id="12" w:name="_Toc20274_WPSOffice_Level2"/>
      <w:bookmarkStart w:id="13" w:name="_Toc14159_WPSOffice_Level2"/>
    </w:p>
    <w:p w14:paraId="37E65918">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第一部分</w:t>
      </w:r>
      <w:bookmarkEnd w:id="2"/>
      <w:bookmarkEnd w:id="3"/>
      <w:bookmarkEnd w:id="4"/>
      <w:bookmarkEnd w:id="5"/>
      <w:bookmarkEnd w:id="6"/>
      <w:bookmarkEnd w:id="7"/>
      <w:r>
        <w:rPr>
          <w:rFonts w:hint="eastAsia" w:ascii="黑体" w:hAnsi="ˎ̥" w:eastAsia="黑体"/>
          <w:color w:val="auto"/>
          <w:sz w:val="32"/>
          <w:szCs w:val="32"/>
        </w:rPr>
        <w:t>基本情况</w:t>
      </w:r>
    </w:p>
    <w:p w14:paraId="76BCE808">
      <w:pPr>
        <w:spacing w:line="578" w:lineRule="exact"/>
        <w:ind w:firstLine="640" w:firstLineChars="200"/>
        <w:rPr>
          <w:rFonts w:hint="eastAsia" w:ascii="楷体" w:hAnsi="楷体" w:eastAsia="楷体" w:cs="楷体"/>
          <w:color w:val="auto"/>
          <w:sz w:val="32"/>
          <w:szCs w:val="32"/>
        </w:rPr>
      </w:pPr>
    </w:p>
    <w:p w14:paraId="4B5BDBFB">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7204C860">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（一）贯彻执行党和国家的教育方针政策、法律法规，对</w:t>
      </w:r>
    </w:p>
    <w:p w14:paraId="7C309BC2">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学生进行德育、智育、体育、美育和劳动教育。</w:t>
      </w:r>
    </w:p>
    <w:p w14:paraId="5C82C7D5">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（二）负责初中和高中学历教育，按照上级教育主管部门</w:t>
      </w:r>
    </w:p>
    <w:p w14:paraId="6BAD3B75">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发布的指导性教学计划、课程标准，组织实施教育教学活动。</w:t>
      </w:r>
    </w:p>
    <w:p w14:paraId="0E83E935">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（三）负责拟订并组织实施本校教育工作的发展规划、学</w:t>
      </w:r>
    </w:p>
    <w:p w14:paraId="558FB939">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期和学年工作计划。</w:t>
      </w:r>
    </w:p>
    <w:p w14:paraId="6B019AF7">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（四）负责建立和完善本校管理制度，实施教职工考核、</w:t>
      </w:r>
    </w:p>
    <w:p w14:paraId="696E0E78">
      <w:pPr>
        <w:keepNext w:val="0"/>
        <w:keepLines w:val="0"/>
        <w:widowControl/>
        <w:suppressLineNumbers w:val="0"/>
        <w:ind w:firstLine="320" w:firstLineChars="100"/>
        <w:jc w:val="left"/>
        <w:rPr>
          <w:color w:val="auto"/>
          <w:sz w:val="32"/>
          <w:szCs w:val="32"/>
        </w:rPr>
      </w:pPr>
      <w:r>
        <w:rPr>
          <w:rFonts w:ascii="仿宋_GB2312" w:hAnsi="仿宋_GB2312" w:eastAsia="仿宋_GB2312" w:cs="仿宋_GB2312"/>
          <w:color w:val="auto"/>
          <w:kern w:val="0"/>
          <w:sz w:val="32"/>
          <w:szCs w:val="32"/>
          <w:lang w:val="en-US" w:eastAsia="zh-CN" w:bidi="ar"/>
        </w:rPr>
        <w:t>聘任、培训等工作。</w:t>
      </w:r>
    </w:p>
    <w:p w14:paraId="5B6BD213">
      <w:pPr>
        <w:numPr>
          <w:ilvl w:val="0"/>
          <w:numId w:val="0"/>
        </w:numPr>
        <w:spacing w:line="578" w:lineRule="exact"/>
        <w:rPr>
          <w:rFonts w:hint="eastAsia" w:ascii="黑体" w:hAnsi="黑体" w:eastAsia="黑体" w:cs="黑体"/>
          <w:color w:val="auto"/>
          <w:sz w:val="32"/>
          <w:szCs w:val="32"/>
        </w:rPr>
      </w:pPr>
      <w:r>
        <w:rPr>
          <w:rFonts w:ascii="仿宋_GB2312" w:hAnsi="仿宋_GB2312" w:eastAsia="仿宋_GB2312" w:cs="仿宋_GB2312"/>
          <w:color w:val="auto"/>
          <w:kern w:val="0"/>
          <w:sz w:val="32"/>
          <w:szCs w:val="32"/>
          <w:lang w:val="en-US" w:eastAsia="zh-CN" w:bidi="ar"/>
        </w:rPr>
        <w:t>（五）承办县委、县政府和上级主管部门交办的其他工作。</w:t>
      </w:r>
    </w:p>
    <w:p w14:paraId="223ACB2A">
      <w:pPr>
        <w:spacing w:line="578" w:lineRule="exact"/>
        <w:ind w:firstLine="640" w:firstLineChars="200"/>
        <w:rPr>
          <w:rFonts w:hint="eastAsia" w:ascii="黑体" w:hAnsi="黑体" w:eastAsia="黑体" w:cs="黑体"/>
          <w:color w:val="auto"/>
          <w:sz w:val="32"/>
          <w:szCs w:val="32"/>
        </w:rPr>
      </w:pPr>
      <w:bookmarkStart w:id="14" w:name="_Toc24059_WPSOffice_Level2"/>
      <w:bookmarkStart w:id="15" w:name="_Toc17796_WPSOffice_Level2"/>
      <w:bookmarkStart w:id="16" w:name="_Toc24474_WPSOffice_Level2"/>
      <w:bookmarkStart w:id="17" w:name="_Toc4833_WPSOffice_Level2"/>
      <w:bookmarkStart w:id="18" w:name="_Toc6572_WPSOffice_Level2"/>
      <w:r>
        <w:rPr>
          <w:rFonts w:hint="eastAsia" w:ascii="黑体" w:hAnsi="黑体" w:eastAsia="黑体" w:cs="黑体"/>
          <w:color w:val="auto"/>
          <w:sz w:val="32"/>
          <w:szCs w:val="32"/>
        </w:rPr>
        <w:t>二、机构设置</w:t>
      </w:r>
      <w:bookmarkEnd w:id="14"/>
      <w:bookmarkEnd w:id="15"/>
      <w:bookmarkEnd w:id="16"/>
      <w:bookmarkEnd w:id="17"/>
      <w:bookmarkEnd w:id="18"/>
    </w:p>
    <w:p w14:paraId="7810E5F6">
      <w:pPr>
        <w:ind w:firstLine="640" w:firstLineChars="200"/>
        <w:rPr>
          <w:rFonts w:hint="eastAsia" w:ascii="仿宋_GB2312" w:hAnsi="ˎ̥" w:eastAsia="仿宋_GB2312"/>
          <w:color w:val="auto"/>
          <w:sz w:val="32"/>
          <w:szCs w:val="32"/>
        </w:rPr>
      </w:pPr>
      <w:bookmarkStart w:id="19" w:name="_Toc6234_WPSOffice_Level1"/>
      <w:bookmarkStart w:id="20" w:name="_Toc15521_WPSOffice_Level1"/>
      <w:bookmarkStart w:id="21" w:name="_Toc30690_WPSOffice_Level1"/>
      <w:bookmarkStart w:id="22" w:name="_Toc28253_WPSOffice_Level1"/>
      <w:bookmarkStart w:id="23" w:name="_Toc8164_WPSOffice_Level1"/>
      <w:bookmarkStart w:id="24" w:name="_Toc30451_WPSOffice_Level1"/>
      <w:bookmarkStart w:id="25" w:name="_Toc11518_WPSOffice_Level2"/>
      <w:bookmarkStart w:id="26" w:name="_Toc6211_WPSOffice_Level2"/>
      <w:bookmarkStart w:id="27" w:name="_Toc32695_WPSOffice_Level2"/>
      <w:bookmarkStart w:id="28" w:name="_Toc32472_WPSOffice_Level2"/>
      <w:bookmarkStart w:id="29" w:name="_Toc8867_WPSOffice_Level2"/>
      <w:bookmarkStart w:id="30" w:name="_Toc4029_WPSOffice_Level2"/>
      <w:r>
        <w:rPr>
          <w:rFonts w:hint="eastAsia" w:ascii="仿宋_GB2312" w:hAnsi="ˎ̥" w:eastAsia="仿宋_GB2312"/>
          <w:color w:val="auto"/>
          <w:sz w:val="32"/>
          <w:szCs w:val="32"/>
        </w:rPr>
        <w:t>纳入保亭中学202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年度部门决算编制范围的二级预算单位包括：</w:t>
      </w:r>
    </w:p>
    <w:p w14:paraId="4470158B">
      <w:pPr>
        <w:ind w:firstLine="640" w:firstLineChars="200"/>
        <w:rPr>
          <w:rFonts w:hint="eastAsia" w:ascii="楷体" w:hAnsi="楷体" w:eastAsia="楷体" w:cs="楷体"/>
          <w:color w:val="auto"/>
          <w:sz w:val="32"/>
          <w:szCs w:val="32"/>
        </w:rPr>
      </w:pPr>
      <w:bookmarkStart w:id="31" w:name="_Toc25738_WPSOffice_Level2"/>
      <w:bookmarkStart w:id="32" w:name="_Toc24421_WPSOffice_Level2"/>
      <w:r>
        <w:rPr>
          <w:rFonts w:hint="eastAsia" w:ascii="楷体" w:hAnsi="楷体" w:eastAsia="楷体" w:cs="楷体"/>
          <w:color w:val="auto"/>
          <w:sz w:val="32"/>
          <w:szCs w:val="32"/>
        </w:rPr>
        <w:t>（一）保亭中学本级</w:t>
      </w:r>
      <w:bookmarkEnd w:id="31"/>
      <w:bookmarkEnd w:id="32"/>
    </w:p>
    <w:p w14:paraId="378C271A">
      <w:pPr>
        <w:ind w:firstLine="640" w:firstLineChars="200"/>
        <w:rPr>
          <w:rFonts w:hint="eastAsia" w:ascii="楷体" w:hAnsi="楷体" w:eastAsia="仿宋_GB2312" w:cs="楷体"/>
          <w:color w:val="auto"/>
          <w:sz w:val="32"/>
          <w:szCs w:val="32"/>
        </w:rPr>
      </w:pPr>
      <w:r>
        <w:rPr>
          <w:rFonts w:hint="eastAsia" w:ascii="仿宋_GB2312" w:hAnsi="ˎ̥" w:eastAsia="仿宋_GB2312"/>
          <w:color w:val="auto"/>
          <w:sz w:val="32"/>
          <w:szCs w:val="32"/>
        </w:rPr>
        <w:t>单位内设机构分别有：办公室、</w:t>
      </w:r>
      <w:r>
        <w:rPr>
          <w:rFonts w:hint="eastAsia" w:ascii="仿宋_GB2312" w:hAnsi="ˎ̥" w:eastAsia="仿宋_GB2312"/>
          <w:color w:val="auto"/>
          <w:sz w:val="32"/>
          <w:szCs w:val="32"/>
          <w:lang w:eastAsia="zh-CN"/>
        </w:rPr>
        <w:t>德育</w:t>
      </w:r>
      <w:r>
        <w:rPr>
          <w:rFonts w:hint="eastAsia" w:ascii="仿宋_GB2312" w:hAnsi="ˎ̥" w:eastAsia="仿宋_GB2312"/>
          <w:color w:val="auto"/>
          <w:sz w:val="32"/>
          <w:szCs w:val="32"/>
        </w:rPr>
        <w:t>处、总务处、</w:t>
      </w:r>
      <w:r>
        <w:rPr>
          <w:rFonts w:hint="eastAsia" w:ascii="仿宋_GB2312" w:hAnsi="ˎ̥" w:eastAsia="仿宋_GB2312"/>
          <w:color w:val="auto"/>
          <w:sz w:val="32"/>
          <w:szCs w:val="32"/>
          <w:lang w:val="en-US" w:eastAsia="zh-CN"/>
        </w:rPr>
        <w:t>教务</w:t>
      </w:r>
      <w:r>
        <w:rPr>
          <w:rFonts w:hint="eastAsia" w:ascii="仿宋_GB2312" w:hAnsi="ˎ̥" w:eastAsia="仿宋_GB2312"/>
          <w:color w:val="auto"/>
          <w:sz w:val="32"/>
          <w:szCs w:val="32"/>
        </w:rPr>
        <w:t>处、教研室、保卫处、团委、体卫艺处、工会、信息中心。</w:t>
      </w:r>
    </w:p>
    <w:p w14:paraId="5A3591D6">
      <w:pPr>
        <w:spacing w:line="578" w:lineRule="exact"/>
        <w:jc w:val="center"/>
        <w:rPr>
          <w:rFonts w:hint="eastAsia" w:ascii="黑体" w:hAnsi="ˎ̥" w:eastAsia="黑体"/>
          <w:color w:val="auto"/>
          <w:sz w:val="32"/>
          <w:szCs w:val="32"/>
        </w:rPr>
      </w:pPr>
    </w:p>
    <w:p w14:paraId="5F2D21F9">
      <w:pPr>
        <w:pStyle w:val="2"/>
        <w:rPr>
          <w:rFonts w:hint="eastAsia" w:ascii="黑体" w:hAnsi="ˎ̥" w:eastAsia="黑体"/>
          <w:color w:val="auto"/>
          <w:sz w:val="32"/>
          <w:szCs w:val="32"/>
        </w:rPr>
      </w:pPr>
    </w:p>
    <w:p w14:paraId="3B6A9C7D">
      <w:pPr>
        <w:pStyle w:val="2"/>
        <w:rPr>
          <w:rFonts w:hint="eastAsia" w:ascii="黑体" w:hAnsi="ˎ̥" w:eastAsia="黑体"/>
          <w:color w:val="auto"/>
          <w:sz w:val="32"/>
          <w:szCs w:val="32"/>
        </w:rPr>
      </w:pPr>
    </w:p>
    <w:p w14:paraId="297DEE39">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第二部分</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6C7B194E">
      <w:pPr>
        <w:spacing w:line="578" w:lineRule="exact"/>
        <w:ind w:firstLine="645"/>
        <w:rPr>
          <w:rFonts w:hint="eastAsia" w:ascii="黑体" w:hAnsi="黑体" w:eastAsia="黑体" w:cs="黑体"/>
          <w:color w:val="auto"/>
          <w:sz w:val="32"/>
          <w:szCs w:val="32"/>
        </w:rPr>
      </w:pPr>
    </w:p>
    <w:p w14:paraId="17EA4EFE">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295BD9FF">
      <w:pPr>
        <w:spacing w:line="578" w:lineRule="exact"/>
        <w:ind w:firstLine="645"/>
        <w:rPr>
          <w:rFonts w:hint="eastAsia" w:ascii="黑体" w:hAnsi="黑体" w:eastAsia="黑体" w:cs="黑体"/>
          <w:color w:val="auto"/>
          <w:sz w:val="32"/>
          <w:szCs w:val="32"/>
        </w:rPr>
      </w:pPr>
      <w:bookmarkStart w:id="33" w:name="_Toc23139_WPSOffice_Level2"/>
      <w:bookmarkStart w:id="34" w:name="_Toc28622_WPSOffice_Level2"/>
      <w:bookmarkStart w:id="35" w:name="_Toc14349_WPSOffice_Level2"/>
      <w:bookmarkStart w:id="36" w:name="_Toc26621_WPSOffice_Level2"/>
      <w:bookmarkStart w:id="37" w:name="_Toc25608_WPSOffice_Level2"/>
      <w:bookmarkStart w:id="38" w:name="_Toc30334_WPSOffice_Level2"/>
      <w:r>
        <w:rPr>
          <w:rFonts w:hint="eastAsia" w:ascii="黑体" w:hAnsi="黑体" w:eastAsia="黑体" w:cs="黑体"/>
          <w:color w:val="auto"/>
          <w:sz w:val="32"/>
          <w:szCs w:val="32"/>
        </w:rPr>
        <w:t>二、收入决算公开表</w:t>
      </w:r>
      <w:bookmarkEnd w:id="33"/>
      <w:bookmarkEnd w:id="34"/>
      <w:bookmarkEnd w:id="35"/>
      <w:bookmarkEnd w:id="36"/>
      <w:bookmarkEnd w:id="37"/>
      <w:bookmarkEnd w:id="38"/>
      <w:bookmarkStart w:id="39" w:name="_Toc3262_WPSOffice_Level2"/>
      <w:bookmarkStart w:id="40" w:name="_Toc14658_WPSOffice_Level2"/>
      <w:bookmarkStart w:id="41" w:name="_Toc17858_WPSOffice_Level2"/>
      <w:bookmarkStart w:id="42" w:name="_Toc5489_WPSOffice_Level2"/>
      <w:bookmarkStart w:id="43" w:name="_Toc13854_WPSOffice_Level2"/>
      <w:bookmarkStart w:id="44" w:name="_Toc17626_WPSOffice_Level2"/>
    </w:p>
    <w:p w14:paraId="7431B3F5">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9"/>
      <w:bookmarkEnd w:id="40"/>
      <w:bookmarkEnd w:id="41"/>
      <w:bookmarkEnd w:id="42"/>
      <w:bookmarkEnd w:id="43"/>
      <w:bookmarkEnd w:id="44"/>
      <w:bookmarkStart w:id="45" w:name="_Toc7988_WPSOffice_Level2"/>
      <w:bookmarkStart w:id="46" w:name="_Toc23591_WPSOffice_Level2"/>
      <w:bookmarkStart w:id="47" w:name="_Toc4265_WPSOffice_Level2"/>
      <w:bookmarkStart w:id="48" w:name="_Toc23493_WPSOffice_Level2"/>
      <w:bookmarkStart w:id="49" w:name="_Toc21415_WPSOffice_Level2"/>
      <w:bookmarkStart w:id="50" w:name="_Toc13701_WPSOffice_Level2"/>
    </w:p>
    <w:p w14:paraId="2C622C6D">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5"/>
      <w:bookmarkEnd w:id="46"/>
      <w:bookmarkEnd w:id="47"/>
      <w:bookmarkEnd w:id="48"/>
      <w:bookmarkEnd w:id="49"/>
      <w:bookmarkEnd w:id="50"/>
    </w:p>
    <w:p w14:paraId="0CBCE5BF">
      <w:pPr>
        <w:spacing w:line="578" w:lineRule="exact"/>
        <w:ind w:firstLine="645"/>
        <w:rPr>
          <w:rFonts w:hint="eastAsia" w:ascii="黑体" w:hAnsi="黑体" w:eastAsia="黑体" w:cs="黑体"/>
          <w:color w:val="auto"/>
          <w:sz w:val="32"/>
          <w:szCs w:val="32"/>
        </w:rPr>
      </w:pPr>
      <w:bookmarkStart w:id="51" w:name="_Toc22783_WPSOffice_Level2"/>
      <w:bookmarkStart w:id="52" w:name="_Toc7879_WPSOffice_Level2"/>
      <w:bookmarkStart w:id="53" w:name="_Toc25166_WPSOffice_Level2"/>
      <w:bookmarkStart w:id="54" w:name="_Toc23829_WPSOffice_Level2"/>
      <w:bookmarkStart w:id="55" w:name="_Toc13516_WPSOffice_Level2"/>
      <w:bookmarkStart w:id="56" w:name="_Toc2158_WPSOffice_Level2"/>
      <w:r>
        <w:rPr>
          <w:rFonts w:hint="eastAsia" w:ascii="黑体" w:hAnsi="黑体" w:eastAsia="黑体" w:cs="黑体"/>
          <w:color w:val="auto"/>
          <w:sz w:val="32"/>
          <w:szCs w:val="32"/>
        </w:rPr>
        <w:t>五、一般公共预算财政拨款收入支出决算</w:t>
      </w:r>
      <w:bookmarkEnd w:id="51"/>
      <w:bookmarkEnd w:id="52"/>
      <w:bookmarkEnd w:id="53"/>
      <w:bookmarkEnd w:id="54"/>
      <w:r>
        <w:rPr>
          <w:rFonts w:hint="eastAsia" w:ascii="黑体" w:hAnsi="黑体" w:eastAsia="黑体" w:cs="黑体"/>
          <w:color w:val="auto"/>
          <w:sz w:val="32"/>
          <w:szCs w:val="32"/>
        </w:rPr>
        <w:t>公开表</w:t>
      </w:r>
      <w:bookmarkEnd w:id="55"/>
      <w:bookmarkEnd w:id="56"/>
      <w:bookmarkStart w:id="57" w:name="_Toc17283_WPSOffice_Level2"/>
      <w:bookmarkStart w:id="58" w:name="_Toc25362_WPSOffice_Level2"/>
      <w:bookmarkStart w:id="59" w:name="_Toc8373_WPSOffice_Level2"/>
      <w:bookmarkStart w:id="60" w:name="_Toc5343_WPSOffice_Level2"/>
      <w:bookmarkStart w:id="61" w:name="_Toc2632_WPSOffice_Level2"/>
      <w:bookmarkStart w:id="62" w:name="_Toc17833_WPSOffice_Level2"/>
    </w:p>
    <w:p w14:paraId="004B67DC">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color w:val="auto"/>
          <w:sz w:val="32"/>
          <w:szCs w:val="32"/>
        </w:rPr>
        <w:t>公开表</w:t>
      </w:r>
    </w:p>
    <w:p w14:paraId="2C9089A1">
      <w:pPr>
        <w:spacing w:line="578" w:lineRule="exact"/>
        <w:ind w:left="1118" w:leftChars="304" w:hanging="480" w:hangingChars="150"/>
        <w:rPr>
          <w:rFonts w:hint="eastAsia" w:ascii="黑体" w:hAnsi="黑体" w:eastAsia="黑体" w:cs="黑体"/>
          <w:color w:val="auto"/>
          <w:sz w:val="32"/>
          <w:szCs w:val="32"/>
        </w:rPr>
      </w:pPr>
      <w:bookmarkStart w:id="63" w:name="_Toc5594_WPSOffice_Level2"/>
      <w:bookmarkStart w:id="64" w:name="_Toc11799_WPSOffice_Level2"/>
      <w:bookmarkStart w:id="65" w:name="_Toc13345_WPSOffice_Level2"/>
      <w:bookmarkStart w:id="66" w:name="_Toc1533_WPSOffice_Level2"/>
      <w:bookmarkStart w:id="67" w:name="_Toc6020_WPSOffice_Level2"/>
      <w:bookmarkStart w:id="68" w:name="_Toc21310_WPSOffice_Level2"/>
      <w:r>
        <w:rPr>
          <w:rFonts w:hint="eastAsia" w:ascii="黑体" w:hAnsi="黑体" w:eastAsia="黑体" w:cs="黑体"/>
          <w:color w:val="auto"/>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color w:val="auto"/>
          <w:sz w:val="32"/>
          <w:szCs w:val="32"/>
        </w:rPr>
        <w:t>公开表</w:t>
      </w:r>
    </w:p>
    <w:p w14:paraId="53947A8E">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28A50513">
      <w:pPr>
        <w:spacing w:line="578" w:lineRule="exact"/>
        <w:ind w:firstLine="640"/>
        <w:rPr>
          <w:rFonts w:hint="eastAsia" w:ascii="黑体" w:hAnsi="黑体" w:eastAsia="黑体" w:cs="黑体"/>
          <w:color w:val="auto"/>
          <w:sz w:val="32"/>
          <w:szCs w:val="32"/>
        </w:rPr>
      </w:pPr>
      <w:bookmarkStart w:id="69" w:name="_Toc19961_WPSOffice_Level2"/>
      <w:bookmarkStart w:id="70" w:name="_Toc9377_WPSOffice_Level2"/>
      <w:bookmarkStart w:id="71" w:name="_Toc29886_WPSOffice_Level2"/>
      <w:bookmarkStart w:id="72" w:name="_Toc1820_WPSOffice_Level2"/>
      <w:r>
        <w:rPr>
          <w:rFonts w:hint="eastAsia" w:ascii="黑体" w:hAnsi="黑体" w:eastAsia="黑体" w:cs="黑体"/>
          <w:color w:val="auto"/>
          <w:sz w:val="32"/>
          <w:szCs w:val="32"/>
        </w:rPr>
        <w:t>九、财政拨款“三公”经费支出决算</w:t>
      </w:r>
      <w:bookmarkEnd w:id="69"/>
      <w:bookmarkEnd w:id="70"/>
      <w:bookmarkEnd w:id="71"/>
      <w:bookmarkEnd w:id="72"/>
      <w:r>
        <w:rPr>
          <w:rFonts w:hint="eastAsia" w:ascii="黑体" w:hAnsi="黑体" w:eastAsia="黑体" w:cs="黑体"/>
          <w:color w:val="auto"/>
          <w:sz w:val="32"/>
          <w:szCs w:val="32"/>
        </w:rPr>
        <w:t>公开表</w:t>
      </w:r>
    </w:p>
    <w:p w14:paraId="6FCCC853">
      <w:pPr>
        <w:spacing w:line="578" w:lineRule="exact"/>
        <w:ind w:firstLine="640"/>
        <w:rPr>
          <w:rFonts w:hint="eastAsia" w:ascii="仿宋" w:hAnsi="仿宋" w:eastAsia="仿宋" w:cs="仿宋"/>
          <w:color w:val="auto"/>
          <w:w w:val="100"/>
          <w:sz w:val="32"/>
          <w:szCs w:val="32"/>
          <w:lang w:eastAsia="zh-CN"/>
        </w:rPr>
      </w:pPr>
      <w:r>
        <w:rPr>
          <w:rFonts w:hint="eastAsia" w:ascii="仿宋" w:hAnsi="仿宋" w:eastAsia="仿宋" w:cs="仿宋"/>
          <w:color w:val="auto"/>
          <w:w w:val="100"/>
          <w:sz w:val="32"/>
          <w:szCs w:val="32"/>
        </w:rPr>
        <w:t>以上报表见附件1。</w:t>
      </w:r>
    </w:p>
    <w:p w14:paraId="23EAEF5F">
      <w:pPr>
        <w:spacing w:line="578" w:lineRule="exact"/>
        <w:rPr>
          <w:rFonts w:hint="eastAsia" w:ascii="黑体" w:hAnsi="黑体" w:eastAsia="黑体" w:cs="黑体"/>
          <w:color w:val="auto"/>
          <w:sz w:val="32"/>
          <w:szCs w:val="32"/>
        </w:rPr>
      </w:pPr>
    </w:p>
    <w:p w14:paraId="6346EC50">
      <w:pPr>
        <w:spacing w:line="578" w:lineRule="exact"/>
        <w:jc w:val="center"/>
        <w:rPr>
          <w:rFonts w:hint="eastAsia" w:ascii="黑体" w:hAnsi="ˎ̥" w:eastAsia="黑体"/>
          <w:color w:val="auto"/>
          <w:sz w:val="32"/>
          <w:szCs w:val="32"/>
        </w:rPr>
      </w:pPr>
      <w:bookmarkStart w:id="73" w:name="_Toc27590_WPSOffice_Level1"/>
      <w:bookmarkStart w:id="74" w:name="_Toc16686_WPSOffice_Level1"/>
      <w:bookmarkStart w:id="75" w:name="_Toc31264_WPSOffice_Level1"/>
      <w:bookmarkStart w:id="76" w:name="_Toc28629_WPSOffice_Level1"/>
      <w:bookmarkStart w:id="77" w:name="_Toc29683_WPSOffice_Level1"/>
      <w:bookmarkStart w:id="78" w:name="_Toc4402_WPSOffice_Level1"/>
      <w:r>
        <w:rPr>
          <w:rFonts w:hint="eastAsia" w:ascii="黑体" w:hAnsi="ˎ̥" w:eastAsia="黑体"/>
          <w:color w:val="auto"/>
          <w:sz w:val="32"/>
          <w:szCs w:val="32"/>
        </w:rPr>
        <w:t>第三部分</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3"/>
      <w:bookmarkEnd w:id="74"/>
      <w:bookmarkEnd w:id="75"/>
      <w:bookmarkEnd w:id="76"/>
      <w:bookmarkEnd w:id="77"/>
      <w:bookmarkEnd w:id="78"/>
    </w:p>
    <w:p w14:paraId="58ADE13B">
      <w:pPr>
        <w:spacing w:line="578" w:lineRule="exact"/>
        <w:jc w:val="center"/>
        <w:rPr>
          <w:rFonts w:hint="eastAsia" w:ascii="黑体" w:hAnsi="ˎ̥" w:eastAsia="黑体"/>
          <w:color w:val="auto"/>
          <w:sz w:val="32"/>
          <w:szCs w:val="32"/>
        </w:rPr>
      </w:pPr>
    </w:p>
    <w:p w14:paraId="6A9C2BE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9,522.6</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9,522.6</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年度相比，收入、支出总计各减少</w:t>
      </w:r>
      <w:r>
        <w:rPr>
          <w:rFonts w:hint="eastAsia" w:ascii="仿宋_GB2312" w:hAnsi="ˎ̥" w:eastAsia="仿宋_GB2312"/>
          <w:color w:val="auto"/>
          <w:sz w:val="32"/>
          <w:szCs w:val="32"/>
          <w:lang w:val="en-US" w:eastAsia="zh-CN"/>
        </w:rPr>
        <w:t>1630</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17.12</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高中部扩建已经大部分完成</w:t>
      </w:r>
      <w:r>
        <w:rPr>
          <w:rFonts w:hint="eastAsia" w:ascii="仿宋_GB2312" w:hAnsi="ˎ̥" w:eastAsia="仿宋_GB2312"/>
          <w:color w:val="auto"/>
          <w:sz w:val="32"/>
          <w:szCs w:val="32"/>
        </w:rPr>
        <w:t>。</w:t>
      </w:r>
    </w:p>
    <w:p w14:paraId="0B34BC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6D99CA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9,521.28</w:t>
      </w:r>
      <w:r>
        <w:rPr>
          <w:rFonts w:hint="eastAsia" w:ascii="仿宋_GB2312" w:hAnsi="ˎ̥" w:eastAsia="仿宋_GB2312"/>
          <w:color w:val="auto"/>
          <w:sz w:val="32"/>
          <w:szCs w:val="32"/>
        </w:rPr>
        <w:t>万元。</w:t>
      </w:r>
    </w:p>
    <w:p w14:paraId="0789FB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default" w:ascii="仿宋_GB2312" w:hAnsi="ˎ̥" w:eastAsia="仿宋_GB2312"/>
          <w:color w:val="auto"/>
          <w:sz w:val="32"/>
          <w:szCs w:val="32"/>
          <w:lang w:val="en-US"/>
        </w:rPr>
        <w:t>597.58</w:t>
      </w:r>
      <w:r>
        <w:rPr>
          <w:rFonts w:hint="eastAsia" w:ascii="仿宋_GB2312" w:hAnsi="ˎ̥" w:eastAsia="仿宋_GB2312"/>
          <w:color w:val="auto"/>
          <w:sz w:val="32"/>
          <w:szCs w:val="32"/>
        </w:rPr>
        <w:t>万元，主要原因是</w:t>
      </w:r>
      <w:r>
        <w:rPr>
          <w:rFonts w:hint="eastAsia" w:ascii="仿宋_GB2312" w:hAnsi="ˎ̥" w:eastAsia="仿宋_GB2312"/>
          <w:color w:val="auto"/>
          <w:sz w:val="32"/>
          <w:szCs w:val="32"/>
          <w:lang w:val="en-US" w:eastAsia="zh-CN"/>
        </w:rPr>
        <w:t>2023年中国海油捐赠用于高中部扩建的款进入非财政拨款结余，2024年没有这部分款项</w:t>
      </w:r>
      <w:r>
        <w:rPr>
          <w:rFonts w:hint="eastAsia" w:ascii="仿宋_GB2312" w:hAnsi="ˎ̥" w:eastAsia="仿宋_GB2312"/>
          <w:color w:val="auto"/>
          <w:sz w:val="32"/>
          <w:szCs w:val="32"/>
        </w:rPr>
        <w:t>。</w:t>
      </w:r>
    </w:p>
    <w:p w14:paraId="2CC82B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1.33</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学生助学金有结余</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6</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94.27</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学生助学金较上年准确，结余较少</w:t>
      </w:r>
      <w:r>
        <w:rPr>
          <w:rFonts w:hint="eastAsia" w:ascii="仿宋_GB2312" w:hAnsi="ˎ̥" w:eastAsia="仿宋_GB2312"/>
          <w:color w:val="auto"/>
          <w:sz w:val="32"/>
          <w:szCs w:val="32"/>
        </w:rPr>
        <w:t>。</w:t>
      </w:r>
    </w:p>
    <w:p w14:paraId="002463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341B5F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9,508.28</w:t>
      </w:r>
      <w:r>
        <w:rPr>
          <w:rFonts w:hint="eastAsia" w:ascii="仿宋_GB2312" w:hAnsi="ˎ̥" w:eastAsia="仿宋_GB2312"/>
          <w:color w:val="auto"/>
          <w:sz w:val="32"/>
          <w:szCs w:val="32"/>
        </w:rPr>
        <w:t>万元。</w:t>
      </w:r>
    </w:p>
    <w:p w14:paraId="541451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12.98</w:t>
      </w:r>
      <w:r>
        <w:rPr>
          <w:rFonts w:hint="eastAsia" w:ascii="仿宋_GB2312" w:hAnsi="ˎ̥" w:eastAsia="仿宋_GB2312"/>
          <w:color w:val="auto"/>
          <w:sz w:val="32"/>
          <w:szCs w:val="32"/>
        </w:rPr>
        <w:t>万元，主要是</w:t>
      </w:r>
      <w:r>
        <w:rPr>
          <w:rFonts w:hint="eastAsia" w:ascii="仿宋_GB2312" w:hAnsi="仿宋_GB2312" w:eastAsia="仿宋_GB2312" w:cs="仿宋_GB2312"/>
          <w:color w:val="auto"/>
          <w:sz w:val="32"/>
          <w:szCs w:val="32"/>
        </w:rPr>
        <w:t>依法治校示范校创建经费</w:t>
      </w:r>
      <w:r>
        <w:rPr>
          <w:rFonts w:hint="eastAsia" w:ascii="仿宋_GB2312" w:hAnsi="仿宋_GB2312" w:eastAsia="仿宋_GB2312" w:cs="仿宋_GB2312"/>
          <w:color w:val="auto"/>
          <w:sz w:val="32"/>
          <w:szCs w:val="32"/>
          <w:lang w:val="en-US" w:eastAsia="zh-CN"/>
        </w:rPr>
        <w:t>和学生助学金</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12.98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2023年无</w:t>
      </w:r>
      <w:r>
        <w:rPr>
          <w:rFonts w:hint="eastAsia" w:ascii="仿宋_GB2312" w:hAnsi="ˎ̥" w:eastAsia="仿宋_GB2312"/>
          <w:color w:val="auto"/>
          <w:sz w:val="32"/>
          <w:szCs w:val="32"/>
        </w:rPr>
        <w:t>。</w:t>
      </w:r>
    </w:p>
    <w:p w14:paraId="2F4FE0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1.34</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学生助学金</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0.12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8.96</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学生助学金剩余减少</w:t>
      </w:r>
      <w:r>
        <w:rPr>
          <w:rFonts w:hint="eastAsia" w:ascii="仿宋_GB2312" w:hAnsi="ˎ̥" w:eastAsia="仿宋_GB2312"/>
          <w:color w:val="auto"/>
          <w:sz w:val="32"/>
          <w:szCs w:val="32"/>
        </w:rPr>
        <w:t>。</w:t>
      </w:r>
    </w:p>
    <w:p w14:paraId="490FF1F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本年收入</w:t>
      </w:r>
      <w:r>
        <w:rPr>
          <w:rFonts w:hint="default" w:ascii="仿宋_GB2312" w:hAnsi="ˎ̥" w:eastAsia="仿宋_GB2312"/>
          <w:color w:val="auto"/>
          <w:sz w:val="32"/>
          <w:szCs w:val="32"/>
          <w:lang w:val="en-US"/>
        </w:rPr>
        <w:t>9,521.28</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8,687.13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91.24</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34.15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0.36</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80</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8.4</w:t>
      </w:r>
      <w:r>
        <w:rPr>
          <w:rFonts w:hint="eastAsia" w:ascii="仿宋_GB2312" w:hAnsi="ˎ̥" w:eastAsia="仿宋_GB2312"/>
          <w:color w:val="auto"/>
          <w:sz w:val="32"/>
          <w:szCs w:val="32"/>
        </w:rPr>
        <w:t>%。</w:t>
      </w:r>
    </w:p>
    <w:p w14:paraId="3EA129BA">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5EF542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9,508.28</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7,576.30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79.68</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1,931.98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20.32</w:t>
      </w:r>
      <w:r>
        <w:rPr>
          <w:rFonts w:hint="eastAsia" w:ascii="仿宋_GB2312" w:hAnsi="ˎ̥" w:eastAsia="仿宋_GB2312"/>
          <w:color w:val="auto"/>
          <w:sz w:val="32"/>
          <w:szCs w:val="32"/>
        </w:rPr>
        <w:t>%；上缴上级支出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A56DB0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57F1A0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8,687.13</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8,687.13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163.34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1.88</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高中部扩建人员增加</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163.34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1.88</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高中部扩建人员增加</w:t>
      </w:r>
      <w:r>
        <w:rPr>
          <w:rFonts w:hint="eastAsia" w:ascii="仿宋_GB2312" w:hAnsi="ˎ̥" w:eastAsia="仿宋_GB2312"/>
          <w:color w:val="auto"/>
          <w:sz w:val="32"/>
          <w:szCs w:val="32"/>
        </w:rPr>
        <w:t>。</w:t>
      </w:r>
    </w:p>
    <w:p w14:paraId="3874411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116520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0F41A1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40ED16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9" w:name="_Toc13694_WPSOffice_Level2"/>
      <w:bookmarkStart w:id="80" w:name="_Toc21737_WPSOffice_Level2"/>
      <w:bookmarkStart w:id="81" w:name="_Toc17398_WPSOffice_Level2"/>
      <w:bookmarkStart w:id="82" w:name="_Toc23005_WPSOffice_Level2"/>
      <w:bookmarkStart w:id="83" w:name="_Toc9989_WPSOffice_Level2"/>
      <w:bookmarkStart w:id="84" w:name="_Toc19665_WPSOffice_Level2"/>
      <w:r>
        <w:rPr>
          <w:rFonts w:hint="eastAsia" w:ascii="楷体" w:hAnsi="楷体" w:eastAsia="楷体" w:cs="楷体"/>
          <w:color w:val="auto"/>
          <w:sz w:val="32"/>
          <w:szCs w:val="32"/>
        </w:rPr>
        <w:t>（一）一般公共预算财政拨款支出决算总体情况</w:t>
      </w:r>
      <w:bookmarkEnd w:id="79"/>
      <w:bookmarkEnd w:id="80"/>
      <w:bookmarkEnd w:id="81"/>
      <w:bookmarkEnd w:id="82"/>
      <w:bookmarkEnd w:id="83"/>
      <w:bookmarkEnd w:id="84"/>
    </w:p>
    <w:p w14:paraId="7B304A0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8,687.13</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91.23</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163.34</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1.88</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高中部扩建人员增加</w:t>
      </w:r>
      <w:r>
        <w:rPr>
          <w:rFonts w:hint="eastAsia" w:ascii="仿宋_GB2312" w:hAnsi="ˎ̥" w:eastAsia="仿宋_GB2312"/>
          <w:color w:val="auto"/>
          <w:sz w:val="32"/>
          <w:szCs w:val="32"/>
        </w:rPr>
        <w:t>。</w:t>
      </w:r>
    </w:p>
    <w:p w14:paraId="33FB67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5" w:name="_Toc27767_WPSOffice_Level2"/>
      <w:bookmarkStart w:id="86" w:name="_Toc19075_WPSOffice_Level2"/>
      <w:bookmarkStart w:id="87" w:name="_Toc2711_WPSOffice_Level2"/>
      <w:bookmarkStart w:id="88" w:name="_Toc18793_WPSOffice_Level2"/>
      <w:bookmarkStart w:id="89" w:name="_Toc23864_WPSOffice_Level2"/>
      <w:bookmarkStart w:id="90" w:name="_Toc19535_WPSOffice_Level2"/>
      <w:r>
        <w:rPr>
          <w:rFonts w:hint="eastAsia" w:ascii="楷体" w:hAnsi="楷体" w:eastAsia="楷体" w:cs="楷体"/>
          <w:color w:val="auto"/>
          <w:sz w:val="32"/>
          <w:szCs w:val="32"/>
        </w:rPr>
        <w:t>（二）一般公共预算财政拨款支出决算结构情况</w:t>
      </w:r>
      <w:bookmarkEnd w:id="85"/>
      <w:bookmarkEnd w:id="86"/>
      <w:bookmarkEnd w:id="87"/>
      <w:bookmarkEnd w:id="88"/>
      <w:bookmarkEnd w:id="89"/>
      <w:bookmarkEnd w:id="90"/>
    </w:p>
    <w:p w14:paraId="7FF99B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8,687.13</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6505.66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74.89</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928.04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10.68</w:t>
      </w:r>
      <w:r>
        <w:rPr>
          <w:rFonts w:hint="eastAsia" w:ascii="仿宋_GB2312" w:hAnsi="ˎ̥" w:eastAsia="仿宋_GB2312"/>
          <w:color w:val="auto"/>
          <w:sz w:val="32"/>
          <w:szCs w:val="32"/>
        </w:rPr>
        <w:t>%；</w:t>
      </w:r>
      <w:r>
        <w:rPr>
          <w:rFonts w:hint="eastAsia" w:ascii="仿宋_GB2312" w:hAnsi="ˎ̥" w:eastAsia="仿宋_GB2312"/>
          <w:b/>
          <w:bCs/>
          <w:color w:val="auto"/>
          <w:sz w:val="32"/>
          <w:szCs w:val="32"/>
          <w:lang w:val="en-US" w:eastAsia="zh-CN"/>
        </w:rPr>
        <w:t>卫生健康</w:t>
      </w:r>
      <w:r>
        <w:rPr>
          <w:rFonts w:hint="eastAsia" w:ascii="仿宋_GB2312" w:hAnsi="ˎ̥" w:eastAsia="仿宋_GB2312"/>
          <w:b w:val="0"/>
          <w:bCs w:val="0"/>
          <w:color w:val="auto"/>
          <w:sz w:val="32"/>
          <w:szCs w:val="32"/>
          <w:lang w:val="en-US" w:eastAsia="zh-CN"/>
        </w:rPr>
        <w:t>支出746.41万元，占8.59%；</w:t>
      </w:r>
      <w:r>
        <w:rPr>
          <w:rFonts w:hint="eastAsia" w:ascii="仿宋_GB2312" w:hAnsi="ˎ̥" w:eastAsia="仿宋_GB2312"/>
          <w:b/>
          <w:bCs/>
          <w:color w:val="auto"/>
          <w:sz w:val="32"/>
          <w:szCs w:val="32"/>
        </w:rPr>
        <w:t>住房保障</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501.57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5.77%</w:t>
      </w:r>
      <w:r>
        <w:rPr>
          <w:rFonts w:hint="eastAsia" w:ascii="仿宋_GB2312" w:hAnsi="ˎ̥" w:eastAsia="仿宋_GB2312"/>
          <w:color w:val="auto"/>
          <w:sz w:val="32"/>
          <w:szCs w:val="32"/>
        </w:rPr>
        <w:t>。</w:t>
      </w:r>
    </w:p>
    <w:p w14:paraId="17E512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1" w:name="_Toc21701_WPSOffice_Level2"/>
      <w:bookmarkStart w:id="92" w:name="_Toc22318_WPSOffice_Level2"/>
      <w:bookmarkStart w:id="93" w:name="_Toc25136_WPSOffice_Level2"/>
      <w:bookmarkStart w:id="94" w:name="_Toc29364_WPSOffice_Level2"/>
      <w:bookmarkStart w:id="95" w:name="_Toc9502_WPSOffice_Level2"/>
      <w:bookmarkStart w:id="96" w:name="_Toc15415_WPSOffice_Level2"/>
      <w:r>
        <w:rPr>
          <w:rFonts w:hint="eastAsia" w:ascii="楷体" w:hAnsi="楷体" w:eastAsia="楷体" w:cs="楷体"/>
          <w:color w:val="auto"/>
          <w:sz w:val="32"/>
          <w:szCs w:val="32"/>
        </w:rPr>
        <w:t>（三）一般公共预算财政拨款支出决算具体情况</w:t>
      </w:r>
      <w:bookmarkEnd w:id="91"/>
      <w:bookmarkEnd w:id="92"/>
      <w:bookmarkEnd w:id="93"/>
      <w:bookmarkEnd w:id="94"/>
      <w:bookmarkEnd w:id="95"/>
      <w:bookmarkEnd w:id="96"/>
    </w:p>
    <w:p w14:paraId="18D04D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8163.93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8,687.13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106.4</w:t>
      </w:r>
      <w:r>
        <w:rPr>
          <w:rFonts w:hint="eastAsia" w:ascii="仿宋_GB2312" w:hAnsi="ˎ̥" w:eastAsia="仿宋_GB2312"/>
          <w:color w:val="auto"/>
          <w:sz w:val="32"/>
          <w:szCs w:val="32"/>
        </w:rPr>
        <w:t>%。其中：</w:t>
      </w:r>
    </w:p>
    <w:p w14:paraId="75C2C2B6">
      <w:pPr>
        <w:spacing w:line="578"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color w:val="auto"/>
          <w:sz w:val="32"/>
          <w:szCs w:val="32"/>
        </w:rPr>
        <w:t>一般公共服务</w:t>
      </w:r>
      <w:r>
        <w:rPr>
          <w:rFonts w:hint="eastAsia" w:ascii="仿宋_GB2312" w:hAnsi="仿宋_GB2312" w:eastAsia="仿宋_GB2312" w:cs="仿宋_GB2312"/>
          <w:b/>
          <w:color w:val="auto"/>
          <w:sz w:val="32"/>
          <w:szCs w:val="32"/>
          <w:lang w:val="en-US" w:eastAsia="zh-CN"/>
        </w:rPr>
        <w:t>普通教育高中教育支出</w:t>
      </w:r>
      <w:r>
        <w:rPr>
          <w:rFonts w:hint="eastAsia" w:ascii="仿宋_GB2312" w:hAnsi="仿宋_GB2312" w:eastAsia="仿宋_GB2312" w:cs="仿宋_GB2312"/>
          <w:b/>
          <w:color w:val="auto"/>
          <w:sz w:val="32"/>
          <w:szCs w:val="32"/>
        </w:rPr>
        <w:t>。</w:t>
      </w:r>
    </w:p>
    <w:p w14:paraId="75FC02FB">
      <w:pPr>
        <w:spacing w:line="578"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5862.03</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6505.66</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110.98</w:t>
      </w:r>
      <w:r>
        <w:rPr>
          <w:rFonts w:hint="eastAsia" w:ascii="仿宋_GB2312" w:hAnsi="仿宋_GB2312" w:eastAsia="仿宋_GB2312" w:cs="仿宋_GB2312"/>
          <w:color w:val="auto"/>
          <w:sz w:val="32"/>
          <w:szCs w:val="32"/>
        </w:rPr>
        <w:t>%。决算数大于预算数的主要原因：是</w:t>
      </w:r>
      <w:r>
        <w:rPr>
          <w:rFonts w:hint="eastAsia" w:ascii="仿宋_GB2312" w:hAnsi="仿宋_GB2312" w:eastAsia="仿宋_GB2312" w:cs="仿宋_GB2312"/>
          <w:color w:val="auto"/>
          <w:sz w:val="32"/>
          <w:szCs w:val="32"/>
          <w:lang w:val="en-US" w:eastAsia="zh-CN"/>
        </w:rPr>
        <w:t>高中部扩建</w:t>
      </w:r>
      <w:r>
        <w:rPr>
          <w:rFonts w:hint="eastAsia" w:ascii="仿宋_GB2312" w:hAnsi="仿宋_GB2312" w:eastAsia="仿宋_GB2312" w:cs="仿宋_GB2312"/>
          <w:color w:val="auto"/>
          <w:sz w:val="32"/>
          <w:szCs w:val="32"/>
        </w:rPr>
        <w:t>。</w:t>
      </w:r>
    </w:p>
    <w:p w14:paraId="2D4665FC">
      <w:pPr>
        <w:pStyle w:val="10"/>
        <w:spacing w:line="375"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color w:val="auto"/>
          <w:sz w:val="32"/>
          <w:szCs w:val="32"/>
        </w:rPr>
        <w:t>社会保障和就业支出行政事业单位养老支出机关事业单位基本养老保险缴费支出。</w:t>
      </w:r>
      <w:r>
        <w:rPr>
          <w:rFonts w:hint="eastAsia" w:ascii="仿宋_GB2312" w:hAnsi="仿宋_GB2312" w:eastAsia="仿宋_GB2312" w:cs="仿宋_GB2312"/>
          <w:color w:val="auto"/>
          <w:sz w:val="32"/>
          <w:szCs w:val="32"/>
        </w:rPr>
        <w:t>年初预算数为</w:t>
      </w:r>
      <w:r>
        <w:rPr>
          <w:rFonts w:hint="eastAsia" w:ascii="仿宋_GB2312" w:hAnsi="仿宋_GB2312" w:eastAsia="仿宋_GB2312" w:cs="仿宋_GB2312"/>
          <w:color w:val="auto"/>
          <w:sz w:val="32"/>
          <w:szCs w:val="32"/>
          <w:lang w:val="en-US" w:eastAsia="zh-CN"/>
        </w:rPr>
        <w:t>611.51</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616.28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100.78</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于预算数的主要原因：</w:t>
      </w:r>
      <w:r>
        <w:rPr>
          <w:rFonts w:hint="eastAsia" w:ascii="仿宋_GB2312" w:hAnsi="仿宋_GB2312" w:eastAsia="仿宋_GB2312" w:cs="仿宋_GB2312"/>
          <w:color w:val="auto"/>
          <w:sz w:val="32"/>
          <w:szCs w:val="32"/>
          <w:highlight w:val="none"/>
          <w:lang w:eastAsia="zh-CN"/>
        </w:rPr>
        <w:t>教职工</w:t>
      </w:r>
      <w:r>
        <w:rPr>
          <w:rFonts w:hint="eastAsia" w:ascii="仿宋_GB2312" w:hAnsi="仿宋_GB2312" w:eastAsia="仿宋_GB2312" w:cs="仿宋_GB2312"/>
          <w:color w:val="auto"/>
          <w:sz w:val="32"/>
          <w:szCs w:val="32"/>
          <w:highlight w:val="none"/>
          <w:lang w:val="en-US" w:eastAsia="zh-CN"/>
        </w:rPr>
        <w:t>人数增加</w:t>
      </w:r>
      <w:r>
        <w:rPr>
          <w:rFonts w:hint="eastAsia" w:ascii="仿宋_GB2312" w:hAnsi="仿宋_GB2312" w:eastAsia="仿宋_GB2312" w:cs="仿宋_GB2312"/>
          <w:color w:val="auto"/>
          <w:sz w:val="32"/>
          <w:szCs w:val="32"/>
          <w:highlight w:val="none"/>
        </w:rPr>
        <w:t>。</w:t>
      </w:r>
    </w:p>
    <w:p w14:paraId="1CB5C0CE">
      <w:pPr>
        <w:pStyle w:val="10"/>
        <w:spacing w:line="375" w:lineRule="atLeas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社会保障和就业支出抚恤其他优抚支出。</w:t>
      </w:r>
      <w:r>
        <w:rPr>
          <w:rFonts w:hint="eastAsia" w:ascii="仿宋_GB2312" w:hAnsi="仿宋_GB2312" w:eastAsia="仿宋_GB2312" w:cs="仿宋_GB2312"/>
          <w:color w:val="auto"/>
          <w:sz w:val="32"/>
          <w:szCs w:val="32"/>
        </w:rPr>
        <w:t>年初预算数为</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0.58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49.15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小于</w:t>
      </w:r>
      <w:r>
        <w:rPr>
          <w:rFonts w:hint="eastAsia" w:ascii="仿宋_GB2312" w:hAnsi="仿宋_GB2312" w:eastAsia="仿宋_GB2312" w:cs="仿宋_GB2312"/>
          <w:color w:val="auto"/>
          <w:sz w:val="32"/>
          <w:szCs w:val="32"/>
        </w:rPr>
        <w:t>预算数的主要原因：</w:t>
      </w:r>
      <w:r>
        <w:rPr>
          <w:rFonts w:hint="eastAsia" w:ascii="仿宋_GB2312" w:hAnsi="仿宋_GB2312" w:eastAsia="仿宋_GB2312" w:cs="仿宋_GB2312"/>
          <w:color w:val="auto"/>
          <w:sz w:val="32"/>
          <w:szCs w:val="32"/>
          <w:lang w:val="en-US" w:eastAsia="zh-CN"/>
        </w:rPr>
        <w:t>有位老人过世。</w:t>
      </w:r>
    </w:p>
    <w:p w14:paraId="29811551">
      <w:pPr>
        <w:pStyle w:val="10"/>
        <w:spacing w:line="375" w:lineRule="atLeas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.医疗卫生与计划生育支出行政事业单位医疗事业单位医疗。</w:t>
      </w:r>
      <w:r>
        <w:rPr>
          <w:rFonts w:hint="eastAsia" w:ascii="仿宋_GB2312" w:hAnsi="仿宋_GB2312" w:eastAsia="仿宋_GB2312" w:cs="仿宋_GB2312"/>
          <w:color w:val="auto"/>
          <w:sz w:val="32"/>
          <w:szCs w:val="32"/>
        </w:rPr>
        <w:t>年初预算数为</w:t>
      </w:r>
      <w:r>
        <w:rPr>
          <w:rFonts w:hint="eastAsia" w:ascii="仿宋_GB2312" w:hAnsi="仿宋_GB2312" w:eastAsia="仿宋_GB2312" w:cs="仿宋_GB2312"/>
          <w:color w:val="auto"/>
          <w:sz w:val="32"/>
          <w:szCs w:val="32"/>
          <w:lang w:val="en-US" w:eastAsia="zh-CN"/>
        </w:rPr>
        <w:t>291.57</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258.87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88.78</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小于</w:t>
      </w:r>
      <w:r>
        <w:rPr>
          <w:rFonts w:hint="eastAsia" w:ascii="仿宋_GB2312" w:hAnsi="仿宋_GB2312" w:eastAsia="仿宋_GB2312" w:cs="仿宋_GB2312"/>
          <w:color w:val="auto"/>
          <w:sz w:val="32"/>
          <w:szCs w:val="32"/>
        </w:rPr>
        <w:t>预算数的主要原因：</w:t>
      </w:r>
      <w:r>
        <w:rPr>
          <w:rFonts w:hint="eastAsia" w:ascii="仿宋_GB2312" w:hAnsi="仿宋_GB2312" w:eastAsia="仿宋_GB2312" w:cs="仿宋_GB2312"/>
          <w:color w:val="auto"/>
          <w:sz w:val="32"/>
          <w:szCs w:val="32"/>
          <w:lang w:val="en-US" w:eastAsia="zh-CN"/>
        </w:rPr>
        <w:t>新进教师人数较多，缴纳金额较少</w:t>
      </w:r>
      <w:r>
        <w:rPr>
          <w:rFonts w:hint="eastAsia" w:ascii="仿宋_GB2312" w:hAnsi="仿宋_GB2312" w:eastAsia="仿宋_GB2312" w:cs="仿宋_GB2312"/>
          <w:color w:val="auto"/>
          <w:sz w:val="32"/>
          <w:szCs w:val="32"/>
        </w:rPr>
        <w:t>。</w:t>
      </w:r>
    </w:p>
    <w:p w14:paraId="6F95DE3D">
      <w:pPr>
        <w:pStyle w:val="10"/>
        <w:spacing w:line="375" w:lineRule="atLeas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.医疗卫生与计划生育支出行政事业单位医疗公务员医疗补助。</w:t>
      </w:r>
      <w:r>
        <w:rPr>
          <w:rFonts w:hint="eastAsia" w:ascii="仿宋_GB2312" w:hAnsi="仿宋_GB2312" w:eastAsia="仿宋_GB2312" w:cs="仿宋_GB2312"/>
          <w:color w:val="auto"/>
          <w:sz w:val="32"/>
          <w:szCs w:val="32"/>
        </w:rPr>
        <w:t>年初预算数为</w:t>
      </w:r>
      <w:r>
        <w:rPr>
          <w:rFonts w:hint="eastAsia" w:ascii="仿宋_GB2312" w:hAnsi="仿宋_GB2312" w:eastAsia="仿宋_GB2312" w:cs="仿宋_GB2312"/>
          <w:color w:val="auto"/>
          <w:sz w:val="32"/>
          <w:szCs w:val="32"/>
          <w:lang w:val="en-US" w:eastAsia="zh-CN"/>
        </w:rPr>
        <w:t>535.07</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487.55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91.12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于预算数的主要原因：</w:t>
      </w:r>
      <w:r>
        <w:rPr>
          <w:rFonts w:hint="eastAsia" w:ascii="仿宋_GB2312" w:hAnsi="仿宋_GB2312" w:eastAsia="仿宋_GB2312" w:cs="仿宋_GB2312"/>
          <w:color w:val="auto"/>
          <w:sz w:val="32"/>
          <w:szCs w:val="32"/>
          <w:lang w:val="en-US" w:eastAsia="zh-CN"/>
        </w:rPr>
        <w:t>新进教师人数较多，缴纳金额较少</w:t>
      </w:r>
      <w:r>
        <w:rPr>
          <w:rFonts w:hint="eastAsia" w:ascii="仿宋_GB2312" w:hAnsi="仿宋_GB2312" w:eastAsia="仿宋_GB2312" w:cs="仿宋_GB2312"/>
          <w:color w:val="auto"/>
          <w:sz w:val="32"/>
          <w:szCs w:val="32"/>
        </w:rPr>
        <w:t>。</w:t>
      </w:r>
    </w:p>
    <w:p w14:paraId="5D404A23">
      <w:pPr>
        <w:pStyle w:val="10"/>
        <w:spacing w:line="375" w:lineRule="atLeas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农林水</w:t>
      </w:r>
      <w:r>
        <w:rPr>
          <w:rFonts w:hint="eastAsia" w:ascii="仿宋_GB2312" w:hAnsi="仿宋_GB2312" w:eastAsia="仿宋_GB2312" w:cs="仿宋_GB2312"/>
          <w:b/>
          <w:color w:val="auto"/>
          <w:sz w:val="32"/>
          <w:szCs w:val="32"/>
        </w:rPr>
        <w:t>支出</w:t>
      </w:r>
      <w:r>
        <w:rPr>
          <w:rFonts w:hint="eastAsia" w:ascii="仿宋_GB2312" w:hAnsi="仿宋_GB2312" w:eastAsia="仿宋_GB2312" w:cs="仿宋_GB2312"/>
          <w:b/>
          <w:color w:val="auto"/>
          <w:sz w:val="32"/>
          <w:szCs w:val="32"/>
          <w:lang w:eastAsia="zh-CN"/>
        </w:rPr>
        <w:t>巩固脱贫攻坚成果衔接乡村振兴其他巩固脱贫攻坚成果衔接乡村振兴支出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年初预算数为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5.43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于预算数的主要原因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驻村工作人员下半年结束驻村</w:t>
      </w:r>
      <w:r>
        <w:rPr>
          <w:rFonts w:hint="eastAsia" w:ascii="仿宋_GB2312" w:hAnsi="仿宋_GB2312" w:eastAsia="仿宋_GB2312" w:cs="仿宋_GB2312"/>
          <w:color w:val="auto"/>
          <w:sz w:val="32"/>
          <w:szCs w:val="32"/>
        </w:rPr>
        <w:t>。</w:t>
      </w:r>
    </w:p>
    <w:p w14:paraId="2D432CD4">
      <w:pPr>
        <w:pStyle w:val="10"/>
        <w:spacing w:line="375" w:lineRule="atLeas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7.</w:t>
      </w:r>
      <w:r>
        <w:rPr>
          <w:rFonts w:hint="eastAsia" w:ascii="仿宋_GB2312" w:hAnsi="仿宋_GB2312" w:eastAsia="仿宋_GB2312" w:cs="仿宋_GB2312"/>
          <w:b/>
          <w:color w:val="auto"/>
          <w:sz w:val="32"/>
          <w:szCs w:val="32"/>
        </w:rPr>
        <w:t>住房保障支出住房改革支出住房公积金。</w:t>
      </w:r>
    </w:p>
    <w:p w14:paraId="45D7390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仿宋_GB2312" w:eastAsia="仿宋_GB2312" w:cs="仿宋_GB2312"/>
          <w:color w:val="auto"/>
          <w:sz w:val="32"/>
          <w:szCs w:val="32"/>
        </w:rPr>
        <w:t>年初预算数为</w:t>
      </w:r>
      <w:r>
        <w:rPr>
          <w:rFonts w:hint="eastAsia" w:ascii="仿宋_GB2312" w:hAnsi="仿宋_GB2312" w:eastAsia="仿宋_GB2312" w:cs="仿宋_GB2312"/>
          <w:color w:val="auto"/>
          <w:sz w:val="32"/>
          <w:szCs w:val="32"/>
          <w:lang w:val="en-US" w:eastAsia="zh-CN"/>
        </w:rPr>
        <w:t>550.82</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501.57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91.06</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于预算数的主要原因：</w:t>
      </w:r>
      <w:r>
        <w:rPr>
          <w:rFonts w:hint="eastAsia" w:ascii="仿宋_GB2312" w:hAnsi="仿宋_GB2312" w:eastAsia="仿宋_GB2312" w:cs="仿宋_GB2312"/>
          <w:color w:val="auto"/>
          <w:sz w:val="32"/>
          <w:szCs w:val="32"/>
          <w:lang w:val="en-US" w:eastAsia="zh-CN"/>
        </w:rPr>
        <w:t>新进教师人数较多，缴纳金额较少</w:t>
      </w:r>
      <w:r>
        <w:rPr>
          <w:rFonts w:hint="eastAsia" w:ascii="仿宋_GB2312" w:hAnsi="仿宋_GB2312" w:eastAsia="仿宋_GB2312" w:cs="仿宋_GB2312"/>
          <w:color w:val="auto"/>
          <w:sz w:val="32"/>
          <w:szCs w:val="32"/>
        </w:rPr>
        <w:t>。</w:t>
      </w:r>
    </w:p>
    <w:p w14:paraId="2E70800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657E2BD9">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6,789.28</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6,653.44</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135.84</w:t>
      </w:r>
      <w:r>
        <w:rPr>
          <w:rFonts w:hint="eastAsia" w:ascii="仿宋_GB2312" w:hAnsi="ˎ̥" w:eastAsia="仿宋_GB2312"/>
          <w:color w:val="auto"/>
          <w:sz w:val="32"/>
          <w:szCs w:val="32"/>
        </w:rPr>
        <w:t>万元，主要包括：商品和服务支出中的办公费、手续费、水费、电费、邮电费、差旅费、维修（护）费、租赁费、培训费、劳务费、委托业务费、工会经费、其他交通费用、其他商品和服务支出；资本性支出中办公设备购置。</w:t>
      </w:r>
    </w:p>
    <w:p w14:paraId="26A91A1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05654C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6FEA9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78F244C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47FE31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0880A4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1A6B5C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3F71564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69E9174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0477CB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2569E24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4E41F3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59F4A10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7A07FC9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6FCBC5A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062FAC4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74D671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无。</w:t>
      </w:r>
    </w:p>
    <w:p w14:paraId="681C11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（二）财政拨款“三公”经费支出决算具体情况说明</w:t>
      </w:r>
    </w:p>
    <w:p w14:paraId="285D7E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color w:val="auto"/>
          <w:sz w:val="32"/>
          <w:szCs w:val="32"/>
          <w:lang w:val="en-US" w:eastAsia="zh-CN"/>
        </w:rPr>
        <w:t>无</w:t>
      </w:r>
      <w:r>
        <w:rPr>
          <w:rFonts w:hint="eastAsia" w:ascii="仿宋_GB2312" w:hAnsi="ˎ̥" w:eastAsia="仿宋_GB2312"/>
          <w:color w:val="auto"/>
          <w:sz w:val="32"/>
          <w:szCs w:val="32"/>
        </w:rPr>
        <w:t>。</w:t>
      </w:r>
    </w:p>
    <w:p w14:paraId="7FD498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288B52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28395B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default" w:ascii="仿宋_GB2312" w:hAnsi="ˎ̥" w:eastAsia="仿宋_GB2312"/>
          <w:color w:val="auto"/>
          <w:sz w:val="32"/>
          <w:szCs w:val="32"/>
          <w:lang w:val="en-US"/>
        </w:rPr>
        <w:t>8,687.13</w:t>
      </w:r>
      <w:r>
        <w:rPr>
          <w:rFonts w:hint="eastAsia" w:ascii="仿宋_GB2312" w:eastAsia="仿宋_GB2312"/>
          <w:color w:val="auto"/>
          <w:sz w:val="32"/>
          <w:szCs w:val="32"/>
          <w:lang w:val="en-US" w:eastAsia="zh-CN"/>
        </w:rPr>
        <w:t>万元，占一般公共预算项目支出总额的100%</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个国有资本经营预算项目开展绩效自评，共涉及资金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14:paraId="0B8473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改善普通高中办学条件补助资金</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37</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default" w:ascii="仿宋_GB2312" w:hAnsi="ˎ̥" w:eastAsia="仿宋_GB2312"/>
          <w:color w:val="auto"/>
          <w:sz w:val="32"/>
          <w:szCs w:val="32"/>
          <w:lang w:val="en-US"/>
        </w:rPr>
        <w:t>8,687.13</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w:t>
      </w:r>
      <w:r>
        <w:rPr>
          <w:rFonts w:hint="eastAsia" w:ascii="仿宋" w:hAnsi="仿宋" w:eastAsia="仿宋"/>
          <w:color w:val="auto"/>
          <w:sz w:val="32"/>
          <w:szCs w:val="32"/>
        </w:rPr>
        <w:t>整体支出情况较好，按计划执行</w:t>
      </w:r>
      <w:r>
        <w:rPr>
          <w:rFonts w:hint="eastAsia" w:ascii="仿宋" w:hAnsi="仿宋" w:eastAsia="仿宋"/>
          <w:color w:val="auto"/>
          <w:sz w:val="32"/>
          <w:szCs w:val="32"/>
          <w:lang w:eastAsia="zh-CN"/>
        </w:rPr>
        <w:t>工程项目</w:t>
      </w:r>
      <w:r>
        <w:rPr>
          <w:rFonts w:hint="eastAsia" w:ascii="仿宋" w:hAnsi="仿宋" w:eastAsia="仿宋"/>
          <w:color w:val="auto"/>
          <w:sz w:val="32"/>
          <w:szCs w:val="32"/>
        </w:rPr>
        <w:t>，固定资产管理规范，资金管理严格合规，能较好完成部门职责</w:t>
      </w:r>
      <w:r>
        <w:rPr>
          <w:rFonts w:hint="eastAsia" w:ascii="仿宋" w:hAnsi="仿宋" w:eastAsia="仿宋"/>
          <w:color w:val="auto"/>
          <w:sz w:val="32"/>
          <w:szCs w:val="32"/>
          <w:lang w:eastAsia="zh-CN"/>
        </w:rPr>
        <w:t>，学校办学水平不断提高</w:t>
      </w:r>
      <w:r>
        <w:rPr>
          <w:rFonts w:hint="eastAsia" w:ascii="仿宋_GB2312" w:eastAsia="仿宋_GB2312"/>
          <w:color w:val="auto"/>
          <w:sz w:val="32"/>
          <w:szCs w:val="32"/>
        </w:rPr>
        <w:t>。</w:t>
      </w:r>
    </w:p>
    <w:p w14:paraId="382CDA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14:paraId="3C3200FE">
      <w:pPr>
        <w:spacing w:before="100" w:beforeAutospacing="1" w:after="100" w:afterAutospacing="1" w:line="580" w:lineRule="exact"/>
        <w:ind w:firstLine="640"/>
        <w:contextualSpacing/>
        <w:rPr>
          <w:rFonts w:hint="eastAsia" w:ascii="仿宋_GB2312" w:eastAsia="仿宋_GB2312"/>
          <w:color w:val="auto"/>
          <w:sz w:val="32"/>
          <w:szCs w:val="32"/>
          <w:lang w:eastAsia="zh-CN"/>
        </w:rPr>
      </w:pPr>
      <w:r>
        <w:rPr>
          <w:rFonts w:hint="eastAsia" w:ascii="仿宋_GB2312" w:eastAsia="仿宋_GB2312"/>
          <w:color w:val="auto"/>
          <w:sz w:val="32"/>
          <w:szCs w:val="32"/>
        </w:rPr>
        <w:t>我单位在部门决算中反映</w:t>
      </w:r>
      <w:r>
        <w:rPr>
          <w:rFonts w:hint="eastAsia" w:ascii="仿宋_GB2312" w:eastAsia="仿宋_GB2312"/>
          <w:color w:val="auto"/>
          <w:sz w:val="32"/>
          <w:szCs w:val="32"/>
          <w:lang w:val="en-US" w:eastAsia="zh-CN"/>
        </w:rPr>
        <w:t>改善普通高中办学条件补助资金</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人才开发专项资金</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37</w:t>
      </w:r>
      <w:r>
        <w:rPr>
          <w:rFonts w:hint="eastAsia" w:ascii="仿宋_GB2312" w:eastAsia="仿宋_GB2312"/>
          <w:color w:val="auto"/>
          <w:sz w:val="32"/>
          <w:szCs w:val="32"/>
        </w:rPr>
        <w:t>个项目绩效自评结果</w:t>
      </w:r>
      <w:r>
        <w:rPr>
          <w:rFonts w:hint="eastAsia" w:ascii="仿宋_GB2312" w:eastAsia="仿宋_GB2312"/>
          <w:color w:val="auto"/>
          <w:sz w:val="32"/>
          <w:szCs w:val="32"/>
          <w:lang w:eastAsia="zh-CN"/>
        </w:rPr>
        <w:t>。</w:t>
      </w:r>
    </w:p>
    <w:p w14:paraId="7E71D7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绩效自评表</w:t>
      </w:r>
      <w:r>
        <w:rPr>
          <w:rFonts w:hint="eastAsia" w:ascii="仿宋_GB2312" w:eastAsia="仿宋_GB2312"/>
          <w:color w:val="auto"/>
          <w:sz w:val="32"/>
          <w:szCs w:val="32"/>
          <w:lang w:val="en-US" w:eastAsia="zh-CN"/>
        </w:rPr>
        <w:t>及报告：附件附后</w:t>
      </w:r>
    </w:p>
    <w:p w14:paraId="2D174EBE">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部门评价结果</w:t>
      </w:r>
    </w:p>
    <w:p w14:paraId="48B71A5F">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无</w:t>
      </w:r>
    </w:p>
    <w:p w14:paraId="684B21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14:paraId="2201A8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无</w:t>
      </w:r>
    </w:p>
    <w:p w14:paraId="5E484E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0A3D8C1E">
      <w:pPr>
        <w:spacing w:line="578" w:lineRule="exact"/>
        <w:ind w:firstLine="640" w:firstLineChars="200"/>
        <w:rPr>
          <w:rFonts w:hint="eastAsia" w:ascii="楷体" w:hAnsi="楷体" w:eastAsia="楷体" w:cs="楷体"/>
          <w:bCs/>
          <w:color w:val="auto"/>
          <w:sz w:val="32"/>
          <w:szCs w:val="32"/>
        </w:rPr>
      </w:pPr>
      <w:bookmarkStart w:id="97" w:name="_Toc15262_WPSOffice_Level2"/>
      <w:bookmarkStart w:id="98" w:name="_Toc5978_WPSOffice_Level2"/>
      <w:bookmarkStart w:id="99" w:name="_Toc32639_WPSOffice_Level2"/>
      <w:bookmarkStart w:id="100" w:name="_Toc23598_WPSOffice_Level2"/>
      <w:bookmarkStart w:id="101" w:name="_Toc15565_WPSOffice_Level2"/>
      <w:bookmarkStart w:id="102" w:name="_Toc18325_WPSOffice_Level2"/>
      <w:r>
        <w:rPr>
          <w:rFonts w:hint="eastAsia" w:ascii="楷体" w:hAnsi="楷体" w:eastAsia="楷体" w:cs="楷体"/>
          <w:bCs/>
          <w:color w:val="auto"/>
          <w:sz w:val="32"/>
          <w:szCs w:val="32"/>
        </w:rPr>
        <w:t>（一）机关运行经费支出情况。</w:t>
      </w:r>
      <w:bookmarkEnd w:id="97"/>
      <w:bookmarkEnd w:id="98"/>
      <w:bookmarkEnd w:id="99"/>
      <w:bookmarkEnd w:id="100"/>
      <w:bookmarkEnd w:id="101"/>
      <w:bookmarkEnd w:id="102"/>
    </w:p>
    <w:p w14:paraId="7D1681B8">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保亭中学</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67A6502B">
      <w:pPr>
        <w:spacing w:line="578" w:lineRule="exact"/>
        <w:ind w:firstLine="640" w:firstLineChars="200"/>
        <w:rPr>
          <w:rFonts w:hint="eastAsia" w:ascii="楷体" w:hAnsi="楷体" w:eastAsia="楷体" w:cs="楷体"/>
          <w:bCs/>
          <w:color w:val="auto"/>
          <w:sz w:val="32"/>
          <w:szCs w:val="32"/>
        </w:rPr>
      </w:pPr>
      <w:bookmarkStart w:id="103" w:name="_Toc13084_WPSOffice_Level2"/>
      <w:bookmarkStart w:id="104" w:name="_Toc30383_WPSOffice_Level2"/>
      <w:bookmarkStart w:id="105" w:name="_Toc25333_WPSOffice_Level2"/>
      <w:bookmarkStart w:id="106" w:name="_Toc3131_WPSOffice_Level2"/>
      <w:bookmarkStart w:id="107" w:name="_Toc32689_WPSOffice_Level2"/>
      <w:bookmarkStart w:id="108" w:name="_Toc23966_WPSOffice_Level2"/>
      <w:r>
        <w:rPr>
          <w:rFonts w:hint="eastAsia" w:ascii="楷体" w:hAnsi="楷体" w:eastAsia="楷体" w:cs="楷体"/>
          <w:bCs/>
          <w:color w:val="auto"/>
          <w:sz w:val="32"/>
          <w:szCs w:val="32"/>
        </w:rPr>
        <w:t>（二）政府采购支出情况。</w:t>
      </w:r>
      <w:bookmarkEnd w:id="103"/>
      <w:bookmarkEnd w:id="104"/>
      <w:bookmarkEnd w:id="105"/>
      <w:bookmarkEnd w:id="106"/>
      <w:bookmarkEnd w:id="107"/>
      <w:bookmarkEnd w:id="108"/>
    </w:p>
    <w:p w14:paraId="36C287D8">
      <w:pPr>
        <w:spacing w:line="578" w:lineRule="exact"/>
        <w:ind w:firstLine="640" w:firstLineChars="200"/>
        <w:jc w:val="left"/>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保亭中学</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511F38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9" w:name="_Toc15129_WPSOffice_Level2"/>
      <w:bookmarkStart w:id="110" w:name="_Toc19989_WPSOffice_Level2"/>
      <w:bookmarkStart w:id="111" w:name="_Toc29584_WPSOffice_Level2"/>
      <w:bookmarkStart w:id="112" w:name="_Toc527_WPSOffice_Level2"/>
      <w:bookmarkStart w:id="113" w:name="_Toc6016_WPSOffice_Level2"/>
      <w:bookmarkStart w:id="114" w:name="_Toc10902_WPSOffice_Level2"/>
      <w:r>
        <w:rPr>
          <w:rFonts w:hint="eastAsia" w:ascii="楷体" w:hAnsi="楷体" w:eastAsia="楷体" w:cs="楷体"/>
          <w:bCs/>
          <w:color w:val="auto"/>
          <w:sz w:val="32"/>
          <w:szCs w:val="32"/>
        </w:rPr>
        <w:t>（三）国有资产占用情况</w:t>
      </w:r>
      <w:bookmarkEnd w:id="109"/>
      <w:bookmarkEnd w:id="110"/>
      <w:bookmarkEnd w:id="111"/>
      <w:bookmarkEnd w:id="112"/>
      <w:bookmarkEnd w:id="113"/>
      <w:bookmarkEnd w:id="114"/>
    </w:p>
    <w:p w14:paraId="420598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eastAsia" w:ascii="仿宋_GB2312" w:hAnsi="ˎ̥" w:eastAsia="仿宋_GB2312"/>
          <w:color w:val="auto"/>
          <w:sz w:val="32"/>
          <w:szCs w:val="32"/>
          <w:lang w:val="en-US" w:eastAsia="zh-CN"/>
        </w:rPr>
        <w:t>23862.1</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14:paraId="18434F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14:paraId="2E700B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台（套）。</w:t>
      </w:r>
    </w:p>
    <w:p w14:paraId="5D7E27A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5" w:name="_Toc11039_WPSOffice_Level1"/>
      <w:bookmarkStart w:id="116" w:name="_Toc15425_WPSOffice_Level1"/>
      <w:bookmarkStart w:id="117" w:name="_Toc4398_WPSOffice_Level1"/>
      <w:bookmarkStart w:id="118" w:name="_Toc17580_WPSOffice_Level1"/>
      <w:bookmarkStart w:id="119" w:name="_Toc8874_WPSOffice_Level1"/>
      <w:bookmarkStart w:id="120" w:name="_Toc8808_WPSOffice_Level1"/>
    </w:p>
    <w:p w14:paraId="1E187EC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第四部分名词解释</w:t>
      </w:r>
      <w:bookmarkEnd w:id="115"/>
      <w:bookmarkEnd w:id="116"/>
      <w:bookmarkEnd w:id="117"/>
      <w:bookmarkEnd w:id="118"/>
      <w:bookmarkEnd w:id="119"/>
      <w:bookmarkEnd w:id="120"/>
    </w:p>
    <w:p w14:paraId="36214D0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0E70CF75">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04954B6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403641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514829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5E8563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520AA3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6D7C74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3FC8CC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01B4CD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15AED4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5C782D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250120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3528DA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75D535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B2F842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w:t>
      </w:r>
      <w:bookmarkStart w:id="121" w:name="_GoBack"/>
      <w:bookmarkEnd w:id="121"/>
      <w:r>
        <w:rPr>
          <w:rFonts w:hint="eastAsia" w:ascii="仿宋_GB2312" w:hAnsi="ˎ̥" w:eastAsia="仿宋_GB2312"/>
          <w:color w:val="auto"/>
          <w:sz w:val="32"/>
          <w:szCs w:val="32"/>
        </w:rPr>
        <w:t>专用材料及一般设备购置费、办公用房水电费、办公用房取暖费、办公用房物业管理费、公务用车运行维护费以及其他费用等。</w:t>
      </w:r>
    </w:p>
    <w:p w14:paraId="5EC8679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14:paraId="24BB1C9E">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1.教育支出普通教育高中教育：反映各部门举办的普通高中教育支出。政府各部门对社会组织等举办的普通高中的资助，如捐赠、补贴等，也在本科目中反映。</w:t>
      </w:r>
    </w:p>
    <w:p w14:paraId="1FBF4902">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2.社会保障和就业支出行政事业单位养老支出行政单位离退休：反映行政单位(包括实行公务员管理的事业单位)开支的离退休经费。</w:t>
      </w:r>
    </w:p>
    <w:p w14:paraId="270EA909">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3.社会保障和就业支出行政事业单位养老支出机关事业单位基本养老保险缴费支出：反映机关事业单位实施养老保险制度由单位缴纳的基本养老保险费支出。</w:t>
      </w:r>
    </w:p>
    <w:p w14:paraId="76CEB6B6">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4.社会保障和就业支出抚恤其他优抚支出：反映除上述项目以外其他用于优抚方面的支出，包括向优抚对象发放的价格临时补贴、老烈士子女、老党员定期生活补助等支出。</w:t>
      </w:r>
    </w:p>
    <w:p w14:paraId="17D99FAA">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5.卫生健康支出行政事业单位医疗事业单位医疗：反映财政部门安排的行政单位（包括实行公务员管理的事业单位）基本医疗保险缴费经费，未参加医疗保险的行政单位的公费医疗经费，按国家规定享受离休人员、红军老战士待遇人员的医疗经费；</w:t>
      </w:r>
    </w:p>
    <w:p w14:paraId="788B05FD">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rPr>
          <w:rFonts w:hint="eastAsia" w:ascii="仿宋_GB2312" w:hAnsi="ˎ̥" w:eastAsia="仿宋_GB2312" w:cs="Times New Roman"/>
          <w:color w:val="auto"/>
          <w:kern w:val="2"/>
          <w:sz w:val="32"/>
          <w:szCs w:val="32"/>
          <w:highlight w:val="none"/>
          <w:lang w:val="en-US" w:eastAsia="zh-CN" w:bidi="ar-SA"/>
        </w:rPr>
      </w:pPr>
      <w:r>
        <w:rPr>
          <w:rFonts w:hint="eastAsia" w:ascii="仿宋_GB2312" w:hAnsi="ˎ̥" w:eastAsia="仿宋_GB2312" w:cs="Times New Roman"/>
          <w:color w:val="auto"/>
          <w:kern w:val="2"/>
          <w:sz w:val="32"/>
          <w:szCs w:val="32"/>
          <w:highlight w:val="none"/>
          <w:lang w:val="en-US" w:eastAsia="zh-CN" w:bidi="ar-SA"/>
        </w:rPr>
        <w:t>6.农林水支出巩固脱贫攻坚成果衔接乡村振兴其他巩固脱贫攻坚成果衔接乡村振兴支出；</w:t>
      </w:r>
    </w:p>
    <w:p w14:paraId="754EA268">
      <w:pPr>
        <w:pStyle w:val="10"/>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firstLine="640" w:firstLineChars="200"/>
        <w:textAlignment w:val="auto"/>
      </w:pPr>
      <w:r>
        <w:rPr>
          <w:rFonts w:hint="eastAsia" w:ascii="仿宋_GB2312" w:hAnsi="ˎ̥" w:eastAsia="仿宋_GB2312" w:cs="Times New Roman"/>
          <w:color w:val="auto"/>
          <w:kern w:val="2"/>
          <w:sz w:val="32"/>
          <w:szCs w:val="32"/>
          <w:highlight w:val="none"/>
          <w:lang w:val="en-US" w:eastAsia="zh-CN" w:bidi="ar-SA"/>
        </w:rPr>
        <w:t>7.住房保障支出住房改革支出住房公积金：反映行政事业单位按照人力资源和社会保障部、财政部规定的基本工资和津贴补贴以及规定比例为职工缴纳的住房公积金。</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901B">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14:paraId="532009A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EEB8">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49D3D43F">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1ED24FBC"/>
    <w:multiLevelType w:val="singleLevel"/>
    <w:tmpl w:val="1ED24FBC"/>
    <w:lvl w:ilvl="0" w:tentative="0">
      <w:start w:val="1"/>
      <w:numFmt w:val="chineseCounting"/>
      <w:suff w:val="nothing"/>
      <w:lvlText w:val="%1、"/>
      <w:lvlJc w:val="left"/>
      <w:rPr>
        <w:rFonts w:hint="eastAsia"/>
      </w:rPr>
    </w:lvl>
  </w:abstractNum>
  <w:abstractNum w:abstractNumId="2">
    <w:nsid w:val="2F22F63D"/>
    <w:multiLevelType w:val="singleLevel"/>
    <w:tmpl w:val="2F22F63D"/>
    <w:lvl w:ilvl="0" w:tentative="0">
      <w:start w:val="3"/>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WQ4OTc0MDkyZTkyNzdmMDJiNTUzNmQwMTI3OWY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07F0E"/>
    <w:rsid w:val="00513897"/>
    <w:rsid w:val="00530C81"/>
    <w:rsid w:val="005C43A2"/>
    <w:rsid w:val="005E64FB"/>
    <w:rsid w:val="005F5987"/>
    <w:rsid w:val="00602EED"/>
    <w:rsid w:val="00682BF8"/>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925242"/>
    <w:rsid w:val="04425B09"/>
    <w:rsid w:val="057D51A4"/>
    <w:rsid w:val="089B6457"/>
    <w:rsid w:val="09201287"/>
    <w:rsid w:val="0CC62E50"/>
    <w:rsid w:val="0E4137B5"/>
    <w:rsid w:val="0FC80124"/>
    <w:rsid w:val="136F98C7"/>
    <w:rsid w:val="155D0C2B"/>
    <w:rsid w:val="157E72E3"/>
    <w:rsid w:val="17427E68"/>
    <w:rsid w:val="1755065F"/>
    <w:rsid w:val="18161B7A"/>
    <w:rsid w:val="1AFC29C9"/>
    <w:rsid w:val="1CA148A3"/>
    <w:rsid w:val="1CA52F2E"/>
    <w:rsid w:val="1E3630B9"/>
    <w:rsid w:val="1FFF56CB"/>
    <w:rsid w:val="205D622D"/>
    <w:rsid w:val="25A91D0C"/>
    <w:rsid w:val="26EEC2B5"/>
    <w:rsid w:val="27B16E5E"/>
    <w:rsid w:val="29116B79"/>
    <w:rsid w:val="29472309"/>
    <w:rsid w:val="2B406E77"/>
    <w:rsid w:val="2C2A0C43"/>
    <w:rsid w:val="2D0766EF"/>
    <w:rsid w:val="2D1E73A5"/>
    <w:rsid w:val="2E80185E"/>
    <w:rsid w:val="31107D3F"/>
    <w:rsid w:val="31B25F26"/>
    <w:rsid w:val="32717154"/>
    <w:rsid w:val="34B63260"/>
    <w:rsid w:val="37FDA7E2"/>
    <w:rsid w:val="392C27E9"/>
    <w:rsid w:val="398642F2"/>
    <w:rsid w:val="3A314D88"/>
    <w:rsid w:val="3A746883"/>
    <w:rsid w:val="3CA15DE9"/>
    <w:rsid w:val="3FE61EE5"/>
    <w:rsid w:val="406508EE"/>
    <w:rsid w:val="408D6263"/>
    <w:rsid w:val="412B15D8"/>
    <w:rsid w:val="415063E9"/>
    <w:rsid w:val="41B40CEE"/>
    <w:rsid w:val="443335E7"/>
    <w:rsid w:val="443A04B0"/>
    <w:rsid w:val="47B67BD8"/>
    <w:rsid w:val="48317291"/>
    <w:rsid w:val="485F7024"/>
    <w:rsid w:val="48E70666"/>
    <w:rsid w:val="49BA174B"/>
    <w:rsid w:val="4C6877E5"/>
    <w:rsid w:val="4CD42100"/>
    <w:rsid w:val="4D6A468D"/>
    <w:rsid w:val="4EA86137"/>
    <w:rsid w:val="552D196B"/>
    <w:rsid w:val="56457B8B"/>
    <w:rsid w:val="56A0339F"/>
    <w:rsid w:val="56CA7FD0"/>
    <w:rsid w:val="57FA38D1"/>
    <w:rsid w:val="5AF96577"/>
    <w:rsid w:val="5E7440CB"/>
    <w:rsid w:val="5F7D3333"/>
    <w:rsid w:val="60F35816"/>
    <w:rsid w:val="61385890"/>
    <w:rsid w:val="6384067A"/>
    <w:rsid w:val="65DC0E29"/>
    <w:rsid w:val="65E21E53"/>
    <w:rsid w:val="67153805"/>
    <w:rsid w:val="687436E1"/>
    <w:rsid w:val="695277DA"/>
    <w:rsid w:val="6A8B6315"/>
    <w:rsid w:val="6ADE7537"/>
    <w:rsid w:val="6DA45C50"/>
    <w:rsid w:val="6E560F37"/>
    <w:rsid w:val="6E9A7825"/>
    <w:rsid w:val="6EBE629D"/>
    <w:rsid w:val="6EF7057C"/>
    <w:rsid w:val="6F670F9B"/>
    <w:rsid w:val="737450E0"/>
    <w:rsid w:val="74054476"/>
    <w:rsid w:val="742F38C4"/>
    <w:rsid w:val="74AB66DC"/>
    <w:rsid w:val="74C4154C"/>
    <w:rsid w:val="75956FFF"/>
    <w:rsid w:val="75AA027A"/>
    <w:rsid w:val="77AA2D01"/>
    <w:rsid w:val="7AB64A4A"/>
    <w:rsid w:val="7C8365BD"/>
    <w:rsid w:val="7CDE1DBD"/>
    <w:rsid w:val="7D943A85"/>
    <w:rsid w:val="7DB0448C"/>
    <w:rsid w:val="7E1C41A7"/>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unhideWhenUsed/>
    <w:qFormat/>
    <w:uiPriority w:val="99"/>
    <w:pPr>
      <w:ind w:firstLine="420" w:firstLineChars="200"/>
    </w:pPr>
  </w:style>
  <w:style w:type="paragraph" w:styleId="6">
    <w:name w:val="annotation text"/>
    <w:basedOn w:val="1"/>
    <w:link w:val="16"/>
    <w:qFormat/>
    <w:uiPriority w:val="0"/>
    <w:pPr>
      <w:jc w:val="left"/>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宋体" w:hAnsi="宋体" w:cs="宋体"/>
      <w:kern w:val="0"/>
      <w:sz w:val="24"/>
      <w:szCs w:val="24"/>
    </w:rPr>
  </w:style>
  <w:style w:type="paragraph" w:styleId="11">
    <w:name w:val="annotation subject"/>
    <w:basedOn w:val="6"/>
    <w:next w:val="6"/>
    <w:link w:val="19"/>
    <w:qFormat/>
    <w:uiPriority w:val="0"/>
    <w:rPr>
      <w:b/>
      <w:bCs/>
    </w:rPr>
  </w:style>
  <w:style w:type="character" w:styleId="14">
    <w:name w:val="page number"/>
    <w:qFormat/>
    <w:uiPriority w:val="0"/>
  </w:style>
  <w:style w:type="character" w:styleId="15">
    <w:name w:val="annotation reference"/>
    <w:qFormat/>
    <w:uiPriority w:val="0"/>
    <w:rPr>
      <w:sz w:val="21"/>
      <w:szCs w:val="21"/>
    </w:rPr>
  </w:style>
  <w:style w:type="character" w:customStyle="1" w:styleId="16">
    <w:name w:val="批注文字 Char"/>
    <w:link w:val="6"/>
    <w:qFormat/>
    <w:uiPriority w:val="0"/>
    <w:rPr>
      <w:kern w:val="2"/>
      <w:sz w:val="21"/>
      <w:szCs w:val="24"/>
    </w:rPr>
  </w:style>
  <w:style w:type="character" w:customStyle="1" w:styleId="17">
    <w:name w:val="批注框文本 Char"/>
    <w:link w:val="7"/>
    <w:qFormat/>
    <w:uiPriority w:val="0"/>
    <w:rPr>
      <w:kern w:val="2"/>
      <w:sz w:val="18"/>
      <w:szCs w:val="18"/>
    </w:rPr>
  </w:style>
  <w:style w:type="character" w:customStyle="1" w:styleId="18">
    <w:name w:val="页眉 Char"/>
    <w:link w:val="9"/>
    <w:qFormat/>
    <w:uiPriority w:val="0"/>
    <w:rPr>
      <w:kern w:val="2"/>
      <w:sz w:val="18"/>
      <w:szCs w:val="18"/>
    </w:rPr>
  </w:style>
  <w:style w:type="character" w:customStyle="1" w:styleId="19">
    <w:name w:val="批注主题 Char"/>
    <w:link w:val="11"/>
    <w:qFormat/>
    <w:uiPriority w:val="0"/>
    <w:rPr>
      <w:b/>
      <w:bCs/>
      <w:kern w:val="2"/>
      <w:sz w:val="21"/>
      <w:szCs w:val="24"/>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Chars="200"/>
    </w:pPr>
    <w:rPr>
      <w:rFonts w:ascii="Times New Roman" w:hAnsi="Times New Roman" w:eastAsia="宋体" w:cs="Times New Roman"/>
      <w:lang w:val="en-US" w:eastAsia="zh-CN" w:bidi="ar-SA"/>
    </w:rPr>
  </w:style>
  <w:style w:type="paragraph" w:customStyle="1" w:styleId="22">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5790</Words>
  <Characters>6457</Characters>
  <Lines>67</Lines>
  <Paragraphs>18</Paragraphs>
  <TotalTime>0</TotalTime>
  <ScaleCrop>false</ScaleCrop>
  <LinksUpToDate>false</LinksUpToDate>
  <CharactersWithSpaces>6542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zjx</cp:lastModifiedBy>
  <cp:lastPrinted>2023-08-03T00:58:00Z</cp:lastPrinted>
  <dcterms:modified xsi:type="dcterms:W3CDTF">2025-09-04T14:27:07Z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DF2E4D31782C4EBDBF81ACDB81E06C9D_13</vt:lpwstr>
  </property>
  <property fmtid="{D5CDD505-2E9C-101B-9397-08002B2CF9AE}" pid="4" name="KSOTemplateDocerSaveRecord">
    <vt:lpwstr>eyJoZGlkIjoiMjI5NjA4MDg3ZDg3NmIzYzU2ZjNjZDZmYjdkNzlkNTciLCJ1c2VySWQiOiIyNDg4MjIzMjIifQ==</vt:lpwstr>
  </property>
</Properties>
</file>