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B2FDD">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保亭黎族苗族自治县三道镇中心幼儿园</w:t>
      </w:r>
    </w:p>
    <w:p w14:paraId="1F7E356A">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2024年度部门决算公开报告</w:t>
      </w:r>
    </w:p>
    <w:p w14:paraId="1E8F4CF7">
      <w:pPr>
        <w:spacing w:line="578" w:lineRule="exact"/>
        <w:jc w:val="center"/>
        <w:rPr>
          <w:rFonts w:hint="eastAsia" w:asciiTheme="majorEastAsia" w:hAnsiTheme="majorEastAsia" w:eastAsiaTheme="majorEastAsia" w:cstheme="majorEastAsia"/>
          <w:b/>
          <w:bCs/>
          <w:color w:val="auto"/>
          <w:sz w:val="44"/>
          <w:szCs w:val="44"/>
        </w:rPr>
      </w:pPr>
    </w:p>
    <w:p w14:paraId="6C2B2D3A">
      <w:pPr>
        <w:spacing w:line="578" w:lineRule="exact"/>
        <w:jc w:val="center"/>
        <w:rPr>
          <w:rFonts w:hint="eastAsia" w:ascii="黑体" w:hAnsi="ˎ̥" w:eastAsia="黑体"/>
          <w:b/>
          <w:color w:val="auto"/>
          <w:sz w:val="32"/>
          <w:szCs w:val="32"/>
        </w:rPr>
      </w:pPr>
    </w:p>
    <w:p w14:paraId="6A8F1018">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14:paraId="6A2F743B">
      <w:pPr>
        <w:pStyle w:val="18"/>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14:paraId="29CBFE79">
      <w:pPr>
        <w:pStyle w:val="19"/>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09089809">
      <w:pPr>
        <w:pStyle w:val="19"/>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3B013F23">
      <w:pPr>
        <w:pStyle w:val="18"/>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14:paraId="6E57563D">
      <w:pPr>
        <w:pStyle w:val="18"/>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14:paraId="65C40179">
      <w:pPr>
        <w:pStyle w:val="19"/>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14:paraId="4BD7D57F">
      <w:pPr>
        <w:pStyle w:val="19"/>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0C54764D">
      <w:pPr>
        <w:pStyle w:val="19"/>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51FC70A3">
      <w:pPr>
        <w:pStyle w:val="19"/>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7A0C8420">
      <w:pPr>
        <w:pStyle w:val="19"/>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14:paraId="0F3513AE">
      <w:pPr>
        <w:pStyle w:val="19"/>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rPr>
        <w:t>6</w:t>
      </w:r>
    </w:p>
    <w:p w14:paraId="14C271AC">
      <w:pPr>
        <w:pStyle w:val="19"/>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7</w:t>
      </w:r>
    </w:p>
    <w:p w14:paraId="341B0484">
      <w:pPr>
        <w:pStyle w:val="19"/>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8</w:t>
      </w:r>
    </w:p>
    <w:p w14:paraId="4A5010BD">
      <w:pPr>
        <w:pStyle w:val="19"/>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14:paraId="23F091F4">
      <w:pPr>
        <w:pStyle w:val="19"/>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11</w:t>
      </w:r>
    </w:p>
    <w:p w14:paraId="11226842">
      <w:pPr>
        <w:pStyle w:val="19"/>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13</w:t>
      </w:r>
    </w:p>
    <w:p w14:paraId="4EC8D6DA">
      <w:pPr>
        <w:pStyle w:val="18"/>
        <w:tabs>
          <w:tab w:val="right" w:leader="dot" w:pos="8306"/>
        </w:tabs>
        <w:spacing w:line="578" w:lineRule="exact"/>
        <w:rPr>
          <w:rFonts w:hint="eastAsia" w:ascii="黑体" w:hAnsi="ˎ̥" w:eastAsia="黑体"/>
          <w:color w:val="auto"/>
          <w:sz w:val="32"/>
          <w:szCs w:val="32"/>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rPr>
        <w:t>5</w:t>
      </w:r>
      <w:bookmarkStart w:id="2" w:name="_Toc22941_WPSOffice_Level1"/>
      <w:bookmarkStart w:id="3" w:name="_Toc10720_WPSOffice_Level1"/>
      <w:bookmarkStart w:id="4" w:name="_Toc1704_WPSOffice_Level1"/>
      <w:bookmarkStart w:id="5" w:name="_Toc32433_WPSOffice_Level1"/>
      <w:bookmarkStart w:id="6" w:name="_Toc23465_WPSOffice_Level1"/>
      <w:bookmarkStart w:id="7" w:name="_Toc10049_WPSOffice_Level1"/>
      <w:bookmarkStart w:id="8" w:name="_Toc24238_WPSOffice_Level2"/>
      <w:bookmarkStart w:id="9" w:name="_Toc20205_WPSOffice_Level2"/>
      <w:bookmarkStart w:id="10" w:name="_Toc20274_WPSOffice_Level2"/>
      <w:bookmarkStart w:id="11" w:name="_Toc32622_WPSOffice_Level2"/>
      <w:bookmarkStart w:id="12" w:name="_Toc14159_WPSOffice_Level2"/>
      <w:bookmarkStart w:id="13" w:name="_Toc26580_WPSOffice_Level2"/>
    </w:p>
    <w:p w14:paraId="13495E08">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14:paraId="59DE4DDD">
      <w:pPr>
        <w:spacing w:line="578" w:lineRule="exact"/>
        <w:ind w:firstLine="640" w:firstLineChars="200"/>
        <w:rPr>
          <w:rFonts w:hint="eastAsia" w:ascii="楷体" w:hAnsi="楷体" w:eastAsia="楷体" w:cs="楷体"/>
          <w:color w:val="auto"/>
          <w:sz w:val="32"/>
          <w:szCs w:val="32"/>
        </w:rPr>
      </w:pPr>
    </w:p>
    <w:p w14:paraId="4A3D8885">
      <w:pPr>
        <w:numPr>
          <w:ilvl w:val="0"/>
          <w:numId w:val="2"/>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部门</w:t>
      </w:r>
      <w:bookmarkEnd w:id="8"/>
      <w:r>
        <w:rPr>
          <w:rFonts w:hint="eastAsia" w:ascii="黑体" w:hAnsi="黑体" w:eastAsia="黑体" w:cs="黑体"/>
          <w:color w:val="auto"/>
          <w:sz w:val="32"/>
          <w:szCs w:val="32"/>
        </w:rPr>
        <w:t>（单位）职责</w:t>
      </w:r>
      <w:bookmarkEnd w:id="9"/>
      <w:bookmarkEnd w:id="10"/>
      <w:bookmarkEnd w:id="11"/>
      <w:bookmarkEnd w:id="12"/>
      <w:bookmarkEnd w:id="13"/>
    </w:p>
    <w:p w14:paraId="64918B1C">
      <w:pPr>
        <w:numPr>
          <w:ilvl w:val="0"/>
          <w:numId w:val="0"/>
        </w:numPr>
        <w:spacing w:line="578" w:lineRule="exact"/>
        <w:ind w:firstLine="640" w:firstLineChars="200"/>
        <w:rPr>
          <w:rFonts w:hint="eastAsia" w:ascii="黑体" w:hAnsi="黑体" w:eastAsia="黑体" w:cs="黑体"/>
          <w:color w:val="auto"/>
          <w:sz w:val="32"/>
          <w:szCs w:val="32"/>
        </w:rPr>
      </w:pPr>
      <w:r>
        <w:rPr>
          <w:rFonts w:hint="eastAsia" w:ascii="仿宋" w:hAnsi="仿宋" w:eastAsia="仿宋" w:cs="仿宋"/>
          <w:color w:val="auto"/>
          <w:sz w:val="32"/>
          <w:szCs w:val="32"/>
          <w:lang w:val="en-US" w:eastAsia="zh-CN"/>
        </w:rPr>
        <w:t>以《幼儿园工作规程》和《幼儿园教育指导纲要》精神为工作标准，明确了“以人为本，个性发展，让教师工作舒心，幼儿生活开心，家长工作放心”的办园理念，使幼儿得到了健康发展，教师整体素质得到了极大的提高。并在上级部门的关心、帮助、指导下，在全体教职员工的共同努力下，不断强化内部管理，形成“敬业、团结、务实、创新”的园风。</w:t>
      </w:r>
    </w:p>
    <w:p w14:paraId="0680DACE">
      <w:pPr>
        <w:spacing w:line="578" w:lineRule="exact"/>
        <w:ind w:firstLine="640" w:firstLineChars="200"/>
        <w:rPr>
          <w:rFonts w:hint="eastAsia" w:ascii="黑体" w:hAnsi="黑体" w:eastAsia="黑体" w:cs="黑体"/>
          <w:color w:val="auto"/>
          <w:sz w:val="32"/>
          <w:szCs w:val="32"/>
        </w:rPr>
      </w:pPr>
      <w:bookmarkStart w:id="14" w:name="_Toc24059_WPSOffice_Level2"/>
      <w:bookmarkStart w:id="15" w:name="_Toc17796_WPSOffice_Level2"/>
      <w:bookmarkStart w:id="16" w:name="_Toc4833_WPSOffice_Level2"/>
      <w:bookmarkStart w:id="17" w:name="_Toc6572_WPSOffice_Level2"/>
      <w:bookmarkStart w:id="18" w:name="_Toc24474_WPSOffice_Level2"/>
      <w:r>
        <w:rPr>
          <w:rFonts w:hint="eastAsia" w:ascii="黑体" w:hAnsi="黑体" w:eastAsia="黑体" w:cs="黑体"/>
          <w:color w:val="auto"/>
          <w:sz w:val="32"/>
          <w:szCs w:val="32"/>
        </w:rPr>
        <w:t>二、机构设置</w:t>
      </w:r>
      <w:bookmarkEnd w:id="14"/>
      <w:bookmarkEnd w:id="15"/>
      <w:bookmarkEnd w:id="16"/>
      <w:bookmarkEnd w:id="17"/>
      <w:bookmarkEnd w:id="18"/>
    </w:p>
    <w:p w14:paraId="278C53CE">
      <w:pPr>
        <w:spacing w:line="578" w:lineRule="exact"/>
        <w:ind w:firstLine="640" w:firstLineChars="200"/>
        <w:rPr>
          <w:rFonts w:hint="eastAsia" w:ascii="仿宋" w:hAnsi="仿宋" w:eastAsia="仿宋" w:cs="仿宋"/>
          <w:color w:val="auto"/>
          <w:sz w:val="32"/>
          <w:szCs w:val="32"/>
          <w:lang w:eastAsia="zh-CN"/>
        </w:rPr>
      </w:pPr>
      <w:r>
        <w:rPr>
          <w:rFonts w:hint="eastAsia" w:ascii="仿宋_GB2312" w:hAnsi="ˎ̥" w:eastAsia="仿宋_GB2312"/>
          <w:color w:val="auto"/>
          <w:sz w:val="32"/>
          <w:szCs w:val="32"/>
        </w:rPr>
        <w:t>纳入</w:t>
      </w:r>
      <w:r>
        <w:rPr>
          <w:rFonts w:hint="eastAsia" w:ascii="仿宋_GB2312" w:hAnsi="ˎ̥" w:eastAsia="仿宋_GB2312"/>
          <w:color w:val="auto"/>
          <w:sz w:val="32"/>
          <w:szCs w:val="32"/>
          <w:lang w:eastAsia="zh-CN"/>
        </w:rPr>
        <w:t>保亭黎族苗族自治县</w:t>
      </w:r>
      <w:r>
        <w:rPr>
          <w:rStyle w:val="21"/>
          <w:rFonts w:hint="eastAsia" w:ascii="仿宋" w:hAnsi="仿宋" w:eastAsia="仿宋" w:cs="仿宋"/>
          <w:b w:val="0"/>
          <w:i w:val="0"/>
          <w:caps w:val="0"/>
          <w:color w:val="auto"/>
          <w:spacing w:val="0"/>
          <w:w w:val="100"/>
          <w:kern w:val="2"/>
          <w:sz w:val="32"/>
          <w:szCs w:val="32"/>
          <w:lang w:val="en-US" w:eastAsia="zh-CN" w:bidi="ar-SA"/>
        </w:rPr>
        <w:t>三道镇中心幼儿园</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年度部门决算编制范围的的</w:t>
      </w:r>
      <w:r>
        <w:rPr>
          <w:rStyle w:val="21"/>
          <w:rFonts w:hint="eastAsia" w:ascii="仿宋" w:hAnsi="仿宋" w:eastAsia="仿宋" w:cs="仿宋"/>
          <w:b w:val="0"/>
          <w:i w:val="0"/>
          <w:caps w:val="0"/>
          <w:color w:val="auto"/>
          <w:spacing w:val="0"/>
          <w:w w:val="100"/>
          <w:kern w:val="2"/>
          <w:sz w:val="32"/>
          <w:szCs w:val="32"/>
          <w:lang w:val="en-US" w:eastAsia="zh-CN" w:bidi="ar-SA"/>
        </w:rPr>
        <w:t>二级预算单位</w:t>
      </w:r>
      <w:r>
        <w:rPr>
          <w:rFonts w:hint="eastAsia" w:ascii="仿宋_GB2312" w:hAnsi="ˎ̥" w:eastAsia="仿宋_GB2312"/>
          <w:color w:val="auto"/>
          <w:sz w:val="32"/>
          <w:szCs w:val="32"/>
        </w:rPr>
        <w:t>包括：</w:t>
      </w:r>
      <w:bookmarkStart w:id="19" w:name="_Toc24421_WPSOffice_Level2"/>
      <w:bookmarkStart w:id="20" w:name="_Toc25738_WPSOffice_Level2"/>
      <w:r>
        <w:rPr>
          <w:rFonts w:hint="eastAsia" w:ascii="仿宋" w:hAnsi="仿宋" w:eastAsia="仿宋" w:cs="仿宋"/>
          <w:color w:val="auto"/>
          <w:sz w:val="32"/>
          <w:szCs w:val="32"/>
          <w:lang w:eastAsia="zh-CN"/>
        </w:rPr>
        <w:t>保亭黎族苗族自治县三道镇中心幼儿园</w:t>
      </w:r>
      <w:r>
        <w:rPr>
          <w:rFonts w:hint="eastAsia" w:ascii="仿宋" w:hAnsi="仿宋" w:eastAsia="仿宋" w:cs="仿宋"/>
          <w:color w:val="auto"/>
          <w:sz w:val="32"/>
          <w:szCs w:val="32"/>
        </w:rPr>
        <w:t>部门本级</w:t>
      </w:r>
      <w:bookmarkEnd w:id="19"/>
      <w:bookmarkEnd w:id="20"/>
      <w:r>
        <w:rPr>
          <w:rFonts w:hint="eastAsia" w:ascii="仿宋" w:hAnsi="仿宋" w:eastAsia="仿宋" w:cs="仿宋"/>
          <w:color w:val="auto"/>
          <w:sz w:val="32"/>
          <w:szCs w:val="32"/>
          <w:lang w:eastAsia="zh-CN"/>
        </w:rPr>
        <w:t>。</w:t>
      </w:r>
    </w:p>
    <w:p w14:paraId="149848AF">
      <w:pPr>
        <w:spacing w:line="578" w:lineRule="exact"/>
        <w:jc w:val="center"/>
        <w:rPr>
          <w:rFonts w:hint="eastAsia" w:ascii="黑体" w:hAnsi="ˎ̥" w:eastAsia="黑体"/>
          <w:color w:val="auto"/>
          <w:sz w:val="32"/>
          <w:szCs w:val="32"/>
        </w:rPr>
      </w:pPr>
      <w:bookmarkStart w:id="21" w:name="_Toc30451_WPSOffice_Level1"/>
      <w:bookmarkStart w:id="22" w:name="_Toc30690_WPSOffice_Level1"/>
      <w:bookmarkStart w:id="23" w:name="_Toc6234_WPSOffice_Level1"/>
      <w:bookmarkStart w:id="24" w:name="_Toc8164_WPSOffice_Level1"/>
      <w:bookmarkStart w:id="25" w:name="_Toc15521_WPSOffice_Level1"/>
      <w:bookmarkStart w:id="26" w:name="_Toc28253_WPSOffice_Level1"/>
      <w:bookmarkStart w:id="27" w:name="_Toc32472_WPSOffice_Level2"/>
      <w:bookmarkStart w:id="28" w:name="_Toc8867_WPSOffice_Level2"/>
      <w:bookmarkStart w:id="29" w:name="_Toc11518_WPSOffice_Level2"/>
      <w:bookmarkStart w:id="30" w:name="_Toc32695_WPSOffice_Level2"/>
      <w:bookmarkStart w:id="31" w:name="_Toc4029_WPSOffice_Level2"/>
      <w:bookmarkStart w:id="32" w:name="_Toc6211_WPSOffice_Level2"/>
    </w:p>
    <w:p w14:paraId="5ABA64D5">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21"/>
      <w:bookmarkEnd w:id="22"/>
      <w:bookmarkEnd w:id="23"/>
      <w:bookmarkEnd w:id="24"/>
      <w:bookmarkEnd w:id="25"/>
      <w:bookmarkEnd w:id="26"/>
    </w:p>
    <w:p w14:paraId="1A7D1292">
      <w:pPr>
        <w:spacing w:line="578" w:lineRule="exact"/>
        <w:ind w:firstLine="645"/>
        <w:rPr>
          <w:rFonts w:hint="eastAsia" w:ascii="黑体" w:hAnsi="黑体" w:eastAsia="黑体" w:cs="黑体"/>
          <w:color w:val="auto"/>
          <w:sz w:val="32"/>
          <w:szCs w:val="32"/>
        </w:rPr>
      </w:pPr>
    </w:p>
    <w:p w14:paraId="4609FEC3">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7"/>
      <w:bookmarkEnd w:id="28"/>
      <w:bookmarkEnd w:id="29"/>
      <w:bookmarkEnd w:id="30"/>
      <w:bookmarkEnd w:id="31"/>
      <w:bookmarkEnd w:id="32"/>
    </w:p>
    <w:p w14:paraId="646AEC68">
      <w:pPr>
        <w:spacing w:line="578" w:lineRule="exact"/>
        <w:ind w:firstLine="645"/>
        <w:rPr>
          <w:rFonts w:hint="eastAsia" w:ascii="黑体" w:hAnsi="黑体" w:eastAsia="黑体" w:cs="黑体"/>
          <w:color w:val="auto"/>
          <w:sz w:val="32"/>
          <w:szCs w:val="32"/>
        </w:rPr>
      </w:pPr>
      <w:bookmarkStart w:id="33" w:name="_Toc30334_WPSOffice_Level2"/>
      <w:bookmarkStart w:id="34" w:name="_Toc26621_WPSOffice_Level2"/>
      <w:bookmarkStart w:id="35" w:name="_Toc28622_WPSOffice_Level2"/>
      <w:bookmarkStart w:id="36" w:name="_Toc25608_WPSOffice_Level2"/>
      <w:bookmarkStart w:id="37" w:name="_Toc23139_WPSOffice_Level2"/>
      <w:bookmarkStart w:id="38" w:name="_Toc14349_WPSOffice_Level2"/>
      <w:r>
        <w:rPr>
          <w:rFonts w:hint="eastAsia" w:ascii="黑体" w:hAnsi="黑体" w:eastAsia="黑体" w:cs="黑体"/>
          <w:color w:val="auto"/>
          <w:sz w:val="32"/>
          <w:szCs w:val="32"/>
        </w:rPr>
        <w:t>二、收入决算公开表</w:t>
      </w:r>
      <w:bookmarkEnd w:id="33"/>
      <w:bookmarkEnd w:id="34"/>
      <w:bookmarkEnd w:id="35"/>
      <w:bookmarkEnd w:id="36"/>
      <w:bookmarkEnd w:id="37"/>
      <w:bookmarkEnd w:id="38"/>
      <w:bookmarkStart w:id="39" w:name="_Toc13854_WPSOffice_Level2"/>
      <w:bookmarkStart w:id="40" w:name="_Toc17626_WPSOffice_Level2"/>
      <w:bookmarkStart w:id="41" w:name="_Toc3262_WPSOffice_Level2"/>
      <w:bookmarkStart w:id="42" w:name="_Toc14658_WPSOffice_Level2"/>
      <w:bookmarkStart w:id="43" w:name="_Toc5489_WPSOffice_Level2"/>
      <w:bookmarkStart w:id="44" w:name="_Toc17858_WPSOffice_Level2"/>
    </w:p>
    <w:p w14:paraId="2D43FEAF">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9"/>
      <w:bookmarkEnd w:id="40"/>
      <w:bookmarkEnd w:id="41"/>
      <w:bookmarkEnd w:id="42"/>
      <w:bookmarkEnd w:id="43"/>
      <w:bookmarkEnd w:id="44"/>
      <w:bookmarkStart w:id="45" w:name="_Toc23493_WPSOffice_Level2"/>
      <w:bookmarkStart w:id="46" w:name="_Toc7988_WPSOffice_Level2"/>
      <w:bookmarkStart w:id="47" w:name="_Toc23591_WPSOffice_Level2"/>
      <w:bookmarkStart w:id="48" w:name="_Toc13701_WPSOffice_Level2"/>
      <w:bookmarkStart w:id="49" w:name="_Toc4265_WPSOffice_Level2"/>
      <w:bookmarkStart w:id="50" w:name="_Toc21415_WPSOffice_Level2"/>
    </w:p>
    <w:p w14:paraId="466CE0B2">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5"/>
      <w:bookmarkEnd w:id="46"/>
      <w:bookmarkEnd w:id="47"/>
      <w:bookmarkEnd w:id="48"/>
      <w:bookmarkEnd w:id="49"/>
      <w:bookmarkEnd w:id="50"/>
    </w:p>
    <w:p w14:paraId="1CA1AAB7">
      <w:pPr>
        <w:spacing w:line="578" w:lineRule="exact"/>
        <w:ind w:firstLine="645"/>
        <w:rPr>
          <w:rFonts w:hint="eastAsia" w:ascii="黑体" w:hAnsi="黑体" w:eastAsia="黑体" w:cs="黑体"/>
          <w:color w:val="auto"/>
          <w:sz w:val="32"/>
          <w:szCs w:val="32"/>
        </w:rPr>
      </w:pPr>
      <w:bookmarkStart w:id="51" w:name="_Toc25166_WPSOffice_Level2"/>
      <w:bookmarkStart w:id="52" w:name="_Toc22783_WPSOffice_Level2"/>
      <w:bookmarkStart w:id="53" w:name="_Toc23829_WPSOffice_Level2"/>
      <w:bookmarkStart w:id="54" w:name="_Toc7879_WPSOffice_Level2"/>
      <w:bookmarkStart w:id="55" w:name="_Toc13516_WPSOffice_Level2"/>
      <w:bookmarkStart w:id="56" w:name="_Toc2158_WPSOffice_Level2"/>
      <w:r>
        <w:rPr>
          <w:rFonts w:hint="eastAsia" w:ascii="黑体" w:hAnsi="黑体" w:eastAsia="黑体" w:cs="黑体"/>
          <w:color w:val="auto"/>
          <w:sz w:val="32"/>
          <w:szCs w:val="32"/>
        </w:rPr>
        <w:t>五、一般公共预算财政拨款收入支出决算</w:t>
      </w:r>
      <w:bookmarkEnd w:id="51"/>
      <w:bookmarkEnd w:id="52"/>
      <w:bookmarkEnd w:id="53"/>
      <w:bookmarkEnd w:id="54"/>
      <w:r>
        <w:rPr>
          <w:rFonts w:hint="eastAsia" w:ascii="黑体" w:hAnsi="黑体" w:eastAsia="黑体" w:cs="黑体"/>
          <w:color w:val="auto"/>
          <w:sz w:val="32"/>
          <w:szCs w:val="32"/>
        </w:rPr>
        <w:t>公开表</w:t>
      </w:r>
      <w:bookmarkEnd w:id="55"/>
      <w:bookmarkEnd w:id="56"/>
      <w:bookmarkStart w:id="57" w:name="_Toc5343_WPSOffice_Level2"/>
      <w:bookmarkStart w:id="58" w:name="_Toc2632_WPSOffice_Level2"/>
      <w:bookmarkStart w:id="59" w:name="_Toc25362_WPSOffice_Level2"/>
      <w:bookmarkStart w:id="60" w:name="_Toc8373_WPSOffice_Level2"/>
      <w:bookmarkStart w:id="61" w:name="_Toc17283_WPSOffice_Level2"/>
      <w:bookmarkStart w:id="62" w:name="_Toc17833_WPSOffice_Level2"/>
    </w:p>
    <w:p w14:paraId="163493D2">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color w:val="auto"/>
          <w:sz w:val="32"/>
          <w:szCs w:val="32"/>
        </w:rPr>
        <w:t>公开表</w:t>
      </w:r>
    </w:p>
    <w:p w14:paraId="11250B0D">
      <w:pPr>
        <w:spacing w:line="578" w:lineRule="exact"/>
        <w:ind w:left="1118" w:leftChars="304" w:hanging="480" w:hangingChars="150"/>
        <w:rPr>
          <w:rFonts w:hint="eastAsia" w:ascii="黑体" w:hAnsi="黑体" w:eastAsia="黑体" w:cs="黑体"/>
          <w:color w:val="auto"/>
          <w:sz w:val="32"/>
          <w:szCs w:val="32"/>
        </w:rPr>
      </w:pPr>
      <w:bookmarkStart w:id="63" w:name="_Toc1533_WPSOffice_Level2"/>
      <w:bookmarkStart w:id="64" w:name="_Toc21310_WPSOffice_Level2"/>
      <w:bookmarkStart w:id="65" w:name="_Toc13345_WPSOffice_Level2"/>
      <w:bookmarkStart w:id="66" w:name="_Toc11799_WPSOffice_Level2"/>
      <w:bookmarkStart w:id="67" w:name="_Toc6020_WPSOffice_Level2"/>
      <w:bookmarkStart w:id="68" w:name="_Toc5594_WPSOffice_Level2"/>
      <w:r>
        <w:rPr>
          <w:rFonts w:hint="eastAsia" w:ascii="黑体" w:hAnsi="黑体" w:eastAsia="黑体" w:cs="黑体"/>
          <w:color w:val="auto"/>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color w:val="auto"/>
          <w:sz w:val="32"/>
          <w:szCs w:val="32"/>
        </w:rPr>
        <w:t>公开表</w:t>
      </w:r>
    </w:p>
    <w:p w14:paraId="33B6C1DC">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14:paraId="6225979D">
      <w:pPr>
        <w:spacing w:line="578" w:lineRule="exact"/>
        <w:ind w:firstLine="640"/>
        <w:rPr>
          <w:rFonts w:hint="eastAsia" w:ascii="黑体" w:hAnsi="黑体" w:eastAsia="黑体" w:cs="黑体"/>
          <w:color w:val="auto"/>
          <w:sz w:val="32"/>
          <w:szCs w:val="32"/>
        </w:rPr>
      </w:pPr>
      <w:bookmarkStart w:id="69" w:name="_Toc1820_WPSOffice_Level2"/>
      <w:bookmarkStart w:id="70" w:name="_Toc29886_WPSOffice_Level2"/>
      <w:bookmarkStart w:id="71" w:name="_Toc19961_WPSOffice_Level2"/>
      <w:bookmarkStart w:id="72" w:name="_Toc9377_WPSOffice_Level2"/>
      <w:r>
        <w:rPr>
          <w:rFonts w:hint="eastAsia" w:ascii="黑体" w:hAnsi="黑体" w:eastAsia="黑体" w:cs="黑体"/>
          <w:color w:val="auto"/>
          <w:sz w:val="32"/>
          <w:szCs w:val="32"/>
        </w:rPr>
        <w:t>九、财政拨款“三公”经费支出决算</w:t>
      </w:r>
      <w:bookmarkEnd w:id="69"/>
      <w:bookmarkEnd w:id="70"/>
      <w:bookmarkEnd w:id="71"/>
      <w:bookmarkEnd w:id="72"/>
      <w:r>
        <w:rPr>
          <w:rFonts w:hint="eastAsia" w:ascii="黑体" w:hAnsi="黑体" w:eastAsia="黑体" w:cs="黑体"/>
          <w:color w:val="auto"/>
          <w:sz w:val="32"/>
          <w:szCs w:val="32"/>
        </w:rPr>
        <w:t>公开表</w:t>
      </w:r>
    </w:p>
    <w:p w14:paraId="752E8721">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14:paraId="5B482E07">
      <w:pPr>
        <w:spacing w:line="578" w:lineRule="exact"/>
        <w:rPr>
          <w:rFonts w:hint="eastAsia" w:ascii="黑体" w:hAnsi="黑体" w:eastAsia="黑体" w:cs="黑体"/>
          <w:color w:val="auto"/>
          <w:sz w:val="32"/>
          <w:szCs w:val="32"/>
        </w:rPr>
      </w:pPr>
    </w:p>
    <w:p w14:paraId="31BF6332">
      <w:pPr>
        <w:spacing w:line="578" w:lineRule="exact"/>
        <w:jc w:val="center"/>
        <w:rPr>
          <w:rFonts w:hint="eastAsia" w:ascii="黑体" w:hAnsi="ˎ̥" w:eastAsia="黑体"/>
          <w:color w:val="auto"/>
          <w:sz w:val="32"/>
          <w:szCs w:val="32"/>
        </w:rPr>
      </w:pPr>
      <w:bookmarkStart w:id="73" w:name="_Toc31264_WPSOffice_Level1"/>
      <w:bookmarkStart w:id="74" w:name="_Toc29683_WPSOffice_Level1"/>
      <w:bookmarkStart w:id="75" w:name="_Toc27590_WPSOffice_Level1"/>
      <w:bookmarkStart w:id="76" w:name="_Toc16686_WPSOffice_Level1"/>
      <w:bookmarkStart w:id="77" w:name="_Toc28629_WPSOffice_Level1"/>
      <w:bookmarkStart w:id="78" w:name="_Toc4402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3"/>
      <w:bookmarkEnd w:id="74"/>
      <w:bookmarkEnd w:id="75"/>
      <w:bookmarkEnd w:id="76"/>
      <w:bookmarkEnd w:id="77"/>
      <w:bookmarkEnd w:id="78"/>
    </w:p>
    <w:p w14:paraId="0108672B">
      <w:pPr>
        <w:spacing w:line="578" w:lineRule="exact"/>
        <w:jc w:val="center"/>
        <w:rPr>
          <w:rFonts w:hint="eastAsia" w:ascii="黑体" w:hAnsi="ˎ̥" w:eastAsia="黑体"/>
          <w:color w:val="auto"/>
          <w:sz w:val="32"/>
          <w:szCs w:val="32"/>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402.43</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402.43</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年度相比，收入、支出总计各增加</w:t>
      </w:r>
      <w:r>
        <w:rPr>
          <w:rFonts w:hint="eastAsia" w:ascii="仿宋_GB2312" w:hAnsi="ˎ̥" w:eastAsia="仿宋_GB2312"/>
          <w:color w:val="auto"/>
          <w:sz w:val="32"/>
          <w:szCs w:val="32"/>
          <w:lang w:val="en-US" w:eastAsia="zh-CN"/>
        </w:rPr>
        <w:t>49.88</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14</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val="en-US" w:eastAsia="zh-CN"/>
        </w:rPr>
        <w:t>新增2名</w:t>
      </w:r>
      <w:r>
        <w:rPr>
          <w:rFonts w:hint="eastAsia" w:ascii="仿宋_GB2312" w:hAnsi="ˎ̥" w:eastAsia="仿宋_GB2312"/>
          <w:color w:val="auto"/>
          <w:sz w:val="32"/>
          <w:szCs w:val="32"/>
          <w:lang w:eastAsia="zh-CN"/>
        </w:rPr>
        <w:t>教师工资和社保增加</w:t>
      </w:r>
      <w:r>
        <w:rPr>
          <w:rFonts w:hint="eastAsia" w:ascii="仿宋_GB2312" w:hAnsi="ˎ̥" w:eastAsia="仿宋_GB2312"/>
          <w:color w:val="auto"/>
          <w:sz w:val="32"/>
          <w:szCs w:val="32"/>
        </w:rPr>
        <w:t>；二是</w:t>
      </w:r>
      <w:r>
        <w:rPr>
          <w:rFonts w:hint="eastAsia" w:ascii="仿宋_GB2312" w:hAnsi="ˎ̥" w:eastAsia="仿宋_GB2312"/>
          <w:color w:val="auto"/>
          <w:sz w:val="32"/>
          <w:szCs w:val="32"/>
          <w:lang w:val="en-US" w:eastAsia="zh-CN"/>
        </w:rPr>
        <w:t>新增新民分园保育费有所增加</w:t>
      </w:r>
      <w:r>
        <w:rPr>
          <w:rFonts w:hint="eastAsia" w:ascii="仿宋_GB2312" w:hAnsi="ˎ̥" w:eastAsia="仿宋_GB2312"/>
          <w:color w:val="auto"/>
          <w:sz w:val="32"/>
          <w:szCs w:val="32"/>
        </w:rPr>
        <w:t>。</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402.43</w:t>
      </w:r>
      <w:r>
        <w:rPr>
          <w:rFonts w:hint="eastAsia" w:ascii="仿宋_GB2312" w:hAnsi="ˎ̥" w:eastAsia="仿宋_GB2312"/>
          <w:color w:val="auto"/>
          <w:sz w:val="32"/>
          <w:szCs w:val="32"/>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增加0万元</w:t>
      </w:r>
      <w:r>
        <w:rPr>
          <w:rFonts w:hint="eastAsia" w:ascii="仿宋_GB2312" w:hAnsi="ˎ̥" w:eastAsia="仿宋_GB2312"/>
          <w:color w:val="auto"/>
          <w:sz w:val="32"/>
          <w:szCs w:val="32"/>
        </w:rPr>
        <w:t>。</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增加0万元</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增长0%</w:t>
      </w:r>
      <w:r>
        <w:rPr>
          <w:rFonts w:hint="eastAsia" w:ascii="仿宋_GB2312" w:hAnsi="ˎ̥" w:eastAsia="仿宋_GB2312"/>
          <w:color w:val="auto"/>
          <w:sz w:val="32"/>
          <w:szCs w:val="32"/>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402.43</w:t>
      </w:r>
      <w:r>
        <w:rPr>
          <w:rFonts w:hint="eastAsia" w:ascii="仿宋_GB2312" w:hAnsi="ˎ̥" w:eastAsia="仿宋_GB2312"/>
          <w:color w:val="auto"/>
          <w:sz w:val="32"/>
          <w:szCs w:val="32"/>
        </w:rPr>
        <w:t>万元。</w:t>
      </w:r>
    </w:p>
    <w:p w14:paraId="382684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0.01</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已上缴国库无</w:t>
      </w:r>
      <w:r>
        <w:rPr>
          <w:rFonts w:hint="eastAsia" w:ascii="仿宋_GB2312" w:hAnsi="ˎ̥" w:eastAsia="仿宋_GB2312"/>
          <w:color w:val="auto"/>
          <w:sz w:val="32"/>
          <w:szCs w:val="32"/>
        </w:rPr>
        <w:t>结余。</w:t>
      </w:r>
    </w:p>
    <w:p w14:paraId="5ABFB0D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年末结转结余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增加0万元</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增长0%</w:t>
      </w:r>
      <w:r>
        <w:rPr>
          <w:rFonts w:hint="eastAsia" w:ascii="仿宋_GB2312" w:hAnsi="ˎ̥" w:eastAsia="仿宋_GB2312"/>
          <w:color w:val="auto"/>
          <w:sz w:val="32"/>
          <w:szCs w:val="32"/>
        </w:rPr>
        <w:t>。</w:t>
      </w:r>
    </w:p>
    <w:p w14:paraId="3B0207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402.43</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402.43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%；上级补助收入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%；事业收入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%；附属单位上缴收入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%；其他收入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402.43</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299.65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74</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102.78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26</w:t>
      </w:r>
      <w:r>
        <w:rPr>
          <w:rFonts w:hint="eastAsia" w:ascii="仿宋_GB2312" w:hAnsi="ˎ̥" w:eastAsia="仿宋_GB2312"/>
          <w:color w:val="auto"/>
          <w:sz w:val="32"/>
          <w:szCs w:val="32"/>
        </w:rPr>
        <w:t>%；上缴上级支出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%；对附属单位补助支出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3CD7D434">
      <w:pPr>
        <w:spacing w:line="578" w:lineRule="exact"/>
        <w:ind w:firstLine="640" w:firstLineChars="200"/>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402.43</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402.43</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年度相比，财政拨款收入增加</w:t>
      </w:r>
      <w:r>
        <w:rPr>
          <w:rFonts w:hint="eastAsia" w:ascii="仿宋_GB2312" w:hAnsi="ˎ̥" w:eastAsia="仿宋_GB2312"/>
          <w:color w:val="auto"/>
          <w:sz w:val="32"/>
          <w:szCs w:val="32"/>
          <w:lang w:val="en-US" w:eastAsia="zh-CN"/>
        </w:rPr>
        <w:t>49.89</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14</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val="en-US" w:eastAsia="zh-CN"/>
        </w:rPr>
        <w:t>新增2名</w:t>
      </w:r>
      <w:r>
        <w:rPr>
          <w:rFonts w:hint="eastAsia" w:ascii="仿宋_GB2312" w:hAnsi="ˎ̥" w:eastAsia="仿宋_GB2312"/>
          <w:color w:val="auto"/>
          <w:sz w:val="32"/>
          <w:szCs w:val="32"/>
          <w:lang w:eastAsia="zh-CN"/>
        </w:rPr>
        <w:t>教师工资和社保增加</w:t>
      </w:r>
      <w:r>
        <w:rPr>
          <w:rFonts w:hint="eastAsia" w:ascii="仿宋_GB2312" w:hAnsi="ˎ̥" w:eastAsia="仿宋_GB2312"/>
          <w:color w:val="auto"/>
          <w:sz w:val="32"/>
          <w:szCs w:val="32"/>
        </w:rPr>
        <w:t>；二是</w:t>
      </w:r>
      <w:r>
        <w:rPr>
          <w:rFonts w:hint="eastAsia" w:ascii="仿宋_GB2312" w:hAnsi="ˎ̥" w:eastAsia="仿宋_GB2312"/>
          <w:color w:val="auto"/>
          <w:sz w:val="32"/>
          <w:szCs w:val="32"/>
          <w:lang w:val="en-US" w:eastAsia="zh-CN"/>
        </w:rPr>
        <w:t>新增新民分园保育费有所增加。</w:t>
      </w:r>
    </w:p>
    <w:p w14:paraId="2F2814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增加0万元</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增长0%</w:t>
      </w:r>
      <w:r>
        <w:rPr>
          <w:rFonts w:hint="eastAsia" w:ascii="仿宋_GB2312" w:hAnsi="ˎ̥" w:eastAsia="仿宋_GB2312"/>
          <w:color w:val="auto"/>
          <w:sz w:val="32"/>
          <w:szCs w:val="32"/>
        </w:rPr>
        <w:t>。</w:t>
      </w:r>
    </w:p>
    <w:p w14:paraId="604B14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增加0万元</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增长0%</w:t>
      </w:r>
      <w:r>
        <w:rPr>
          <w:rFonts w:hint="eastAsia" w:ascii="仿宋_GB2312" w:hAnsi="ˎ̥" w:eastAsia="仿宋_GB2312"/>
          <w:color w:val="auto"/>
          <w:sz w:val="32"/>
          <w:szCs w:val="32"/>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9" w:name="_Toc17398_WPSOffice_Level2"/>
      <w:bookmarkStart w:id="80" w:name="_Toc21737_WPSOffice_Level2"/>
      <w:bookmarkStart w:id="81" w:name="_Toc23005_WPSOffice_Level2"/>
      <w:bookmarkStart w:id="82" w:name="_Toc13694_WPSOffice_Level2"/>
      <w:bookmarkStart w:id="83" w:name="_Toc9989_WPSOffice_Level2"/>
      <w:bookmarkStart w:id="84" w:name="_Toc19665_WPSOffice_Level2"/>
      <w:r>
        <w:rPr>
          <w:rFonts w:hint="eastAsia" w:ascii="楷体" w:hAnsi="楷体" w:eastAsia="楷体" w:cs="楷体"/>
          <w:color w:val="auto"/>
          <w:sz w:val="32"/>
          <w:szCs w:val="32"/>
        </w:rPr>
        <w:t>（一）一般公共预算财政拨款支出决算总体情况</w:t>
      </w:r>
      <w:bookmarkEnd w:id="79"/>
      <w:bookmarkEnd w:id="80"/>
      <w:bookmarkEnd w:id="81"/>
      <w:bookmarkEnd w:id="82"/>
      <w:bookmarkEnd w:id="83"/>
      <w:bookmarkEnd w:id="84"/>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402.43</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年度相比，一般公共预算财政拨款支出增加</w:t>
      </w:r>
      <w:r>
        <w:rPr>
          <w:rFonts w:hint="eastAsia" w:ascii="仿宋_GB2312" w:hAnsi="ˎ̥" w:eastAsia="仿宋_GB2312"/>
          <w:color w:val="auto"/>
          <w:sz w:val="32"/>
          <w:szCs w:val="32"/>
          <w:lang w:val="en-US" w:eastAsia="zh-CN"/>
        </w:rPr>
        <w:t>48.89</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14</w:t>
      </w:r>
      <w:r>
        <w:rPr>
          <w:rFonts w:hint="eastAsia" w:ascii="仿宋_GB2312" w:hAnsi="ˎ̥" w:eastAsia="仿宋_GB2312"/>
          <w:color w:val="auto"/>
          <w:sz w:val="32"/>
          <w:szCs w:val="32"/>
        </w:rPr>
        <w:t>%，主要原因是一是</w:t>
      </w:r>
      <w:r>
        <w:rPr>
          <w:rFonts w:hint="eastAsia" w:ascii="仿宋_GB2312" w:hAnsi="ˎ̥" w:eastAsia="仿宋_GB2312"/>
          <w:color w:val="auto"/>
          <w:sz w:val="32"/>
          <w:szCs w:val="32"/>
          <w:lang w:val="en-US" w:eastAsia="zh-CN"/>
        </w:rPr>
        <w:t>新增2名</w:t>
      </w:r>
      <w:r>
        <w:rPr>
          <w:rFonts w:hint="eastAsia" w:ascii="仿宋_GB2312" w:hAnsi="ˎ̥" w:eastAsia="仿宋_GB2312"/>
          <w:color w:val="auto"/>
          <w:sz w:val="32"/>
          <w:szCs w:val="32"/>
          <w:lang w:eastAsia="zh-CN"/>
        </w:rPr>
        <w:t>教师工资和社保增加</w:t>
      </w:r>
      <w:r>
        <w:rPr>
          <w:rFonts w:hint="eastAsia" w:ascii="仿宋_GB2312" w:hAnsi="ˎ̥" w:eastAsia="仿宋_GB2312"/>
          <w:color w:val="auto"/>
          <w:sz w:val="32"/>
          <w:szCs w:val="32"/>
        </w:rPr>
        <w:t>；二是</w:t>
      </w:r>
      <w:r>
        <w:rPr>
          <w:rFonts w:hint="eastAsia" w:ascii="仿宋_GB2312" w:hAnsi="ˎ̥" w:eastAsia="仿宋_GB2312"/>
          <w:color w:val="auto"/>
          <w:sz w:val="32"/>
          <w:szCs w:val="32"/>
          <w:lang w:val="en-US" w:eastAsia="zh-CN"/>
        </w:rPr>
        <w:t>新增新民分园保育费有所增加</w:t>
      </w:r>
      <w:r>
        <w:rPr>
          <w:rFonts w:hint="eastAsia" w:ascii="仿宋_GB2312" w:hAnsi="ˎ̥" w:eastAsia="仿宋_GB2312"/>
          <w:color w:val="auto"/>
          <w:sz w:val="32"/>
          <w:szCs w:val="32"/>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5" w:name="_Toc19535_WPSOffice_Level2"/>
      <w:bookmarkStart w:id="86" w:name="_Toc23864_WPSOffice_Level2"/>
      <w:bookmarkStart w:id="87" w:name="_Toc2711_WPSOffice_Level2"/>
      <w:bookmarkStart w:id="88" w:name="_Toc27767_WPSOffice_Level2"/>
      <w:bookmarkStart w:id="89" w:name="_Toc18793_WPSOffice_Level2"/>
      <w:bookmarkStart w:id="90" w:name="_Toc19075_WPSOffice_Level2"/>
      <w:r>
        <w:rPr>
          <w:rFonts w:hint="eastAsia" w:ascii="楷体" w:hAnsi="楷体" w:eastAsia="楷体" w:cs="楷体"/>
          <w:color w:val="auto"/>
          <w:sz w:val="32"/>
          <w:szCs w:val="32"/>
        </w:rPr>
        <w:t>（二）一般公共预算财政拨款支出决算结构情况</w:t>
      </w:r>
      <w:bookmarkEnd w:id="85"/>
      <w:bookmarkEnd w:id="86"/>
      <w:bookmarkEnd w:id="87"/>
      <w:bookmarkEnd w:id="88"/>
      <w:bookmarkEnd w:id="89"/>
      <w:bookmarkEnd w:id="90"/>
    </w:p>
    <w:p w14:paraId="1AB38B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402.43</w:t>
      </w:r>
      <w:r>
        <w:rPr>
          <w:rFonts w:hint="eastAsia" w:ascii="仿宋_GB2312" w:hAnsi="ˎ̥" w:eastAsia="仿宋_GB2312"/>
          <w:color w:val="auto"/>
          <w:sz w:val="32"/>
          <w:szCs w:val="32"/>
        </w:rPr>
        <w:t>万元，主要用于以下方面：</w:t>
      </w:r>
      <w:r>
        <w:rPr>
          <w:rFonts w:hint="eastAsia" w:ascii="仿宋_GB2312" w:hAnsi="ˎ̥" w:eastAsia="仿宋_GB2312"/>
          <w:b/>
          <w:bCs/>
          <w:color w:val="auto"/>
          <w:sz w:val="32"/>
          <w:szCs w:val="32"/>
          <w:lang w:eastAsia="zh-CN"/>
        </w:rPr>
        <w:t>教育支出</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313.51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78</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w:t>
      </w:r>
      <w:r>
        <w:rPr>
          <w:rFonts w:hint="eastAsia" w:ascii="仿宋_GB2312" w:hAnsi="ˎ̥" w:eastAsia="仿宋_GB2312"/>
          <w:b/>
          <w:bCs/>
          <w:color w:val="auto"/>
          <w:sz w:val="32"/>
          <w:szCs w:val="32"/>
          <w:lang w:eastAsia="zh-CN"/>
        </w:rPr>
        <w:t>支出</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38.7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9.6</w:t>
      </w:r>
      <w:r>
        <w:rPr>
          <w:rFonts w:hint="eastAsia" w:ascii="仿宋_GB2312" w:hAnsi="ˎ̥" w:eastAsia="仿宋_GB2312"/>
          <w:color w:val="auto"/>
          <w:sz w:val="32"/>
          <w:szCs w:val="32"/>
        </w:rPr>
        <w:t>%；</w:t>
      </w:r>
      <w:r>
        <w:rPr>
          <w:rFonts w:hint="eastAsia" w:ascii="仿宋_GB2312" w:eastAsia="仿宋_GB2312"/>
          <w:b/>
          <w:bCs/>
          <w:color w:val="auto"/>
          <w:sz w:val="32"/>
          <w:szCs w:val="32"/>
        </w:rPr>
        <w:t>卫生健康</w:t>
      </w:r>
      <w:r>
        <w:rPr>
          <w:rFonts w:hint="eastAsia" w:ascii="仿宋_GB2312" w:hAnsi="ˎ̥" w:eastAsia="仿宋_GB2312"/>
          <w:b/>
          <w:bCs/>
          <w:color w:val="auto"/>
          <w:sz w:val="32"/>
          <w:szCs w:val="32"/>
          <w:lang w:eastAsia="zh-CN"/>
        </w:rPr>
        <w:t>支出</w:t>
      </w:r>
      <w:r>
        <w:rPr>
          <w:rFonts w:hint="eastAsia" w:ascii="仿宋_GB2312" w:eastAsia="仿宋_GB2312"/>
          <w:color w:val="auto"/>
          <w:sz w:val="32"/>
          <w:szCs w:val="32"/>
        </w:rPr>
        <w:t>支出27.85万元，占</w:t>
      </w:r>
      <w:r>
        <w:rPr>
          <w:rFonts w:hint="eastAsia" w:ascii="仿宋_GB2312" w:eastAsia="仿宋_GB2312"/>
          <w:color w:val="auto"/>
          <w:sz w:val="32"/>
          <w:szCs w:val="32"/>
          <w:lang w:val="en-US" w:eastAsia="zh-CN"/>
        </w:rPr>
        <w:t>6.9</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hAnsi="ˎ̥" w:eastAsia="仿宋_GB2312"/>
          <w:b/>
          <w:bCs/>
          <w:color w:val="auto"/>
          <w:sz w:val="32"/>
          <w:szCs w:val="32"/>
        </w:rPr>
        <w:t>住房保障</w:t>
      </w:r>
      <w:r>
        <w:rPr>
          <w:rFonts w:hint="eastAsia" w:ascii="仿宋_GB2312" w:hAnsi="ˎ̥" w:eastAsia="仿宋_GB2312"/>
          <w:b/>
          <w:bCs/>
          <w:color w:val="auto"/>
          <w:sz w:val="32"/>
          <w:szCs w:val="32"/>
          <w:lang w:eastAsia="zh-CN"/>
        </w:rPr>
        <w:t>支出</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22.38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 xml:space="preserve">5.5 </w:t>
      </w:r>
      <w:r>
        <w:rPr>
          <w:rFonts w:hint="eastAsia" w:ascii="仿宋_GB2312" w:hAnsi="ˎ̥" w:eastAsia="仿宋_GB2312"/>
          <w:color w:val="auto"/>
          <w:sz w:val="32"/>
          <w:szCs w:val="32"/>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91" w:name="_Toc22318_WPSOffice_Level2"/>
      <w:bookmarkStart w:id="92" w:name="_Toc15415_WPSOffice_Level2"/>
      <w:bookmarkStart w:id="93" w:name="_Toc25136_WPSOffice_Level2"/>
      <w:bookmarkStart w:id="94" w:name="_Toc29364_WPSOffice_Level2"/>
      <w:bookmarkStart w:id="95" w:name="_Toc21701_WPSOffice_Level2"/>
      <w:bookmarkStart w:id="96" w:name="_Toc9502_WPSOffice_Level2"/>
      <w:r>
        <w:rPr>
          <w:rFonts w:hint="eastAsia" w:ascii="楷体" w:hAnsi="楷体" w:eastAsia="楷体" w:cs="楷体"/>
          <w:color w:val="auto"/>
          <w:sz w:val="32"/>
          <w:szCs w:val="32"/>
        </w:rPr>
        <w:t>（三）一般公共预算财政拨款支出决算具体情况</w:t>
      </w:r>
      <w:bookmarkEnd w:id="91"/>
      <w:bookmarkEnd w:id="92"/>
      <w:bookmarkEnd w:id="93"/>
      <w:bookmarkEnd w:id="94"/>
      <w:bookmarkEnd w:id="95"/>
      <w:bookmarkEnd w:id="96"/>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eastAsia" w:ascii="仿宋_GB2312" w:hAnsi="ˎ̥" w:eastAsia="仿宋_GB2312"/>
          <w:color w:val="auto"/>
          <w:sz w:val="32"/>
          <w:szCs w:val="32"/>
          <w:lang w:val="en-US" w:eastAsia="zh-CN"/>
        </w:rPr>
        <w:t>320.23</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402.43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127</w:t>
      </w:r>
      <w:r>
        <w:rPr>
          <w:rFonts w:hint="eastAsia" w:ascii="仿宋_GB2312" w:hAnsi="ˎ̥" w:eastAsia="仿宋_GB2312"/>
          <w:color w:val="auto"/>
          <w:sz w:val="32"/>
          <w:szCs w:val="32"/>
        </w:rPr>
        <w:t>%。其中：</w:t>
      </w:r>
    </w:p>
    <w:p w14:paraId="05A44715">
      <w:pPr>
        <w:spacing w:line="578" w:lineRule="exact"/>
        <w:ind w:firstLine="643" w:firstLineChars="200"/>
        <w:rPr>
          <w:rFonts w:hint="eastAsia" w:ascii="仿宋_GB2312" w:hAnsi="ˎ̥" w:eastAsia="仿宋_GB2312"/>
          <w:b/>
          <w:bCs/>
          <w:color w:val="auto"/>
          <w:sz w:val="32"/>
          <w:szCs w:val="32"/>
        </w:rPr>
      </w:pPr>
      <w:r>
        <w:rPr>
          <w:rFonts w:hint="eastAsia" w:ascii="仿宋_GB2312" w:hAnsi="ˎ̥" w:eastAsia="仿宋_GB2312"/>
          <w:b/>
          <w:bCs/>
          <w:color w:val="auto"/>
          <w:sz w:val="32"/>
          <w:szCs w:val="32"/>
        </w:rPr>
        <w:t>1.</w:t>
      </w:r>
      <w:r>
        <w:rPr>
          <w:rStyle w:val="21"/>
          <w:rFonts w:ascii="仿宋_GB2312" w:hAnsi="ˎ̥" w:eastAsia="仿宋_GB2312" w:cs="Times New Roman"/>
          <w:b/>
          <w:bCs/>
          <w:i w:val="0"/>
          <w:caps w:val="0"/>
          <w:color w:val="auto"/>
          <w:spacing w:val="0"/>
          <w:w w:val="100"/>
          <w:kern w:val="2"/>
          <w:sz w:val="32"/>
          <w:szCs w:val="32"/>
          <w:lang w:val="en-US" w:eastAsia="zh-CN" w:bidi="ar-SA"/>
        </w:rPr>
        <w:t>教育支出</w:t>
      </w:r>
      <w:r>
        <w:rPr>
          <w:rFonts w:hint="eastAsia" w:ascii="仿宋_GB2312" w:hAnsi="黑体" w:eastAsia="仿宋_GB2312" w:cs="仿宋_GB2312"/>
          <w:b/>
          <w:bCs/>
          <w:color w:val="auto"/>
          <w:sz w:val="32"/>
          <w:szCs w:val="32"/>
        </w:rPr>
        <w:t>教育管理事务其他教育管理事务支出</w:t>
      </w:r>
      <w:r>
        <w:rPr>
          <w:rFonts w:hint="eastAsia" w:ascii="仿宋_GB2312" w:hAnsi="ˎ̥" w:eastAsia="仿宋_GB2312"/>
          <w:b/>
          <w:bCs/>
          <w:color w:val="auto"/>
          <w:sz w:val="32"/>
          <w:szCs w:val="32"/>
        </w:rPr>
        <w:t>。</w:t>
      </w:r>
    </w:p>
    <w:p w14:paraId="1A295CA9">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黑体" w:eastAsia="仿宋_GB2312" w:cs="仿宋_GB2312"/>
          <w:color w:val="auto"/>
          <w:sz w:val="32"/>
          <w:szCs w:val="32"/>
          <w:lang w:val="en-US" w:eastAsia="zh-CN"/>
        </w:rPr>
        <w:t>1.08</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0.5</w:t>
      </w:r>
      <w:r>
        <w:rPr>
          <w:rFonts w:hint="eastAsia" w:ascii="仿宋_GB2312" w:hAnsi="ˎ̥" w:eastAsia="仿宋_GB2312"/>
          <w:color w:val="auto"/>
          <w:sz w:val="32"/>
          <w:szCs w:val="32"/>
        </w:rPr>
        <w:t>万元，完成年初预算</w:t>
      </w:r>
      <w:r>
        <w:rPr>
          <w:rFonts w:hint="eastAsia" w:ascii="仿宋_GB2312" w:hAnsi="ˎ̥" w:eastAsia="仿宋_GB2312"/>
          <w:color w:val="auto"/>
          <w:sz w:val="32"/>
          <w:szCs w:val="32"/>
          <w:lang w:val="en-US" w:eastAsia="zh-CN"/>
        </w:rPr>
        <w:t>46</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小于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val="en-US" w:eastAsia="zh-CN"/>
        </w:rPr>
        <w:t>党建经费支出较少</w:t>
      </w:r>
      <w:r>
        <w:rPr>
          <w:rFonts w:hint="eastAsia" w:ascii="仿宋_GB2312" w:hAnsi="ˎ̥" w:eastAsia="仿宋_GB2312"/>
          <w:color w:val="auto"/>
          <w:sz w:val="32"/>
          <w:szCs w:val="32"/>
          <w:lang w:eastAsia="zh-CN"/>
        </w:rPr>
        <w:t>。</w:t>
      </w:r>
    </w:p>
    <w:p w14:paraId="7ED53FA8">
      <w:pPr>
        <w:spacing w:line="578" w:lineRule="exact"/>
        <w:ind w:firstLine="643" w:firstLineChars="200"/>
        <w:rPr>
          <w:rFonts w:hint="eastAsia" w:ascii="仿宋_GB2312" w:hAnsi="ˎ̥" w:eastAsia="仿宋_GB2312"/>
          <w:b/>
          <w:color w:val="auto"/>
          <w:sz w:val="32"/>
          <w:szCs w:val="32"/>
        </w:rPr>
      </w:pPr>
      <w:r>
        <w:rPr>
          <w:rStyle w:val="21"/>
          <w:rFonts w:hint="eastAsia" w:ascii="仿宋_GB2312" w:hAnsi="ˎ̥" w:eastAsia="仿宋_GB2312" w:cs="Times New Roman"/>
          <w:b/>
          <w:bCs/>
          <w:i w:val="0"/>
          <w:caps w:val="0"/>
          <w:color w:val="auto"/>
          <w:spacing w:val="0"/>
          <w:w w:val="100"/>
          <w:kern w:val="2"/>
          <w:sz w:val="32"/>
          <w:szCs w:val="32"/>
          <w:lang w:val="en-US" w:eastAsia="zh-CN" w:bidi="ar-SA"/>
        </w:rPr>
        <w:t>2.</w:t>
      </w:r>
      <w:r>
        <w:rPr>
          <w:rStyle w:val="21"/>
          <w:rFonts w:ascii="仿宋_GB2312" w:hAnsi="ˎ̥" w:eastAsia="仿宋_GB2312" w:cs="Times New Roman"/>
          <w:b/>
          <w:bCs/>
          <w:i w:val="0"/>
          <w:caps w:val="0"/>
          <w:color w:val="auto"/>
          <w:spacing w:val="0"/>
          <w:w w:val="100"/>
          <w:kern w:val="2"/>
          <w:sz w:val="32"/>
          <w:szCs w:val="32"/>
          <w:lang w:val="en-US" w:eastAsia="zh-CN" w:bidi="ar-SA"/>
        </w:rPr>
        <w:t>教育支出</w:t>
      </w:r>
      <w:r>
        <w:rPr>
          <w:rStyle w:val="21"/>
          <w:rFonts w:ascii="仿宋_GB2312" w:hAnsi="ˎ̥" w:eastAsia="仿宋_GB2312"/>
          <w:b/>
          <w:i w:val="0"/>
          <w:caps w:val="0"/>
          <w:color w:val="auto"/>
          <w:spacing w:val="0"/>
          <w:w w:val="100"/>
          <w:kern w:val="2"/>
          <w:sz w:val="32"/>
          <w:szCs w:val="32"/>
          <w:lang w:val="en-US" w:eastAsia="zh-CN" w:bidi="ar-SA"/>
        </w:rPr>
        <w:t>普通教育学前教育</w:t>
      </w:r>
      <w:r>
        <w:rPr>
          <w:rFonts w:hint="eastAsia" w:ascii="仿宋_GB2312" w:hAnsi="ˎ̥" w:eastAsia="仿宋_GB2312"/>
          <w:b/>
          <w:color w:val="auto"/>
          <w:sz w:val="32"/>
          <w:szCs w:val="32"/>
        </w:rPr>
        <w:t>。</w:t>
      </w:r>
    </w:p>
    <w:p w14:paraId="3229B58C">
      <w:pPr>
        <w:spacing w:line="578" w:lineRule="exact"/>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年初预算为</w:t>
      </w:r>
      <w:r>
        <w:rPr>
          <w:rFonts w:hint="eastAsia" w:ascii="仿宋_GB2312" w:hAnsi="黑体" w:eastAsia="仿宋_GB2312" w:cs="仿宋_GB2312"/>
          <w:color w:val="auto"/>
          <w:sz w:val="32"/>
          <w:szCs w:val="32"/>
          <w:lang w:val="en-US" w:eastAsia="zh-CN"/>
        </w:rPr>
        <w:t>232.55</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313.01</w:t>
      </w:r>
      <w:r>
        <w:rPr>
          <w:rFonts w:hint="eastAsia" w:ascii="仿宋_GB2312" w:hAnsi="ˎ̥" w:eastAsia="仿宋_GB2312"/>
          <w:color w:val="auto"/>
          <w:sz w:val="32"/>
          <w:szCs w:val="32"/>
        </w:rPr>
        <w:t>万元，完成年初预算</w:t>
      </w:r>
      <w:r>
        <w:rPr>
          <w:rFonts w:hint="eastAsia" w:ascii="仿宋_GB2312" w:hAnsi="ˎ̥" w:eastAsia="仿宋_GB2312"/>
          <w:color w:val="auto"/>
          <w:sz w:val="32"/>
          <w:szCs w:val="32"/>
          <w:lang w:val="en-US" w:eastAsia="zh-CN"/>
        </w:rPr>
        <w:t>134</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大于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val="en-US" w:eastAsia="zh-CN"/>
        </w:rPr>
        <w:t>新增2名教师</w:t>
      </w:r>
      <w:r>
        <w:rPr>
          <w:rFonts w:hint="eastAsia" w:ascii="仿宋_GB2312" w:hAnsi="ˎ̥" w:eastAsia="仿宋_GB2312"/>
          <w:color w:val="auto"/>
          <w:sz w:val="32"/>
          <w:szCs w:val="32"/>
          <w:lang w:eastAsia="zh-CN"/>
        </w:rPr>
        <w:t>工资</w:t>
      </w:r>
      <w:r>
        <w:rPr>
          <w:rFonts w:hint="eastAsia" w:ascii="仿宋_GB2312" w:hAnsi="ˎ̥" w:eastAsia="仿宋_GB2312"/>
          <w:color w:val="auto"/>
          <w:sz w:val="32"/>
          <w:szCs w:val="32"/>
          <w:lang w:val="en-US" w:eastAsia="zh-CN"/>
        </w:rPr>
        <w:t>社保等</w:t>
      </w:r>
      <w:r>
        <w:rPr>
          <w:rFonts w:hint="eastAsia" w:ascii="仿宋_GB2312" w:hAnsi="ˎ̥" w:eastAsia="仿宋_GB2312"/>
          <w:color w:val="auto"/>
          <w:sz w:val="32"/>
          <w:szCs w:val="32"/>
          <w:lang w:eastAsia="zh-CN"/>
        </w:rPr>
        <w:t>有所调整，造成各项人员类的预算不足，进行了缺口追加。</w:t>
      </w:r>
    </w:p>
    <w:p w14:paraId="267D6676">
      <w:pPr>
        <w:numPr>
          <w:ilvl w:val="0"/>
          <w:numId w:val="0"/>
        </w:numPr>
        <w:ind w:firstLine="643" w:firstLineChars="200"/>
        <w:rPr>
          <w:rStyle w:val="21"/>
          <w:rFonts w:hint="eastAsia" w:ascii="仿宋_GB2312" w:hAnsi="ˎ̥" w:eastAsia="仿宋_GB2312"/>
          <w:b/>
          <w:i w:val="0"/>
          <w:caps w:val="0"/>
          <w:color w:val="auto"/>
          <w:spacing w:val="0"/>
          <w:w w:val="100"/>
          <w:kern w:val="2"/>
          <w:sz w:val="32"/>
          <w:szCs w:val="32"/>
          <w:lang w:val="en-US" w:eastAsia="zh-CN" w:bidi="ar-SA"/>
        </w:rPr>
      </w:pPr>
      <w:r>
        <w:rPr>
          <w:rStyle w:val="21"/>
          <w:rFonts w:hint="eastAsia" w:ascii="仿宋_GB2312" w:hAnsi="ˎ̥" w:eastAsia="仿宋_GB2312" w:cs="Times New Roman"/>
          <w:b/>
          <w:bCs/>
          <w:i w:val="0"/>
          <w:caps w:val="0"/>
          <w:color w:val="auto"/>
          <w:spacing w:val="0"/>
          <w:w w:val="100"/>
          <w:kern w:val="2"/>
          <w:sz w:val="32"/>
          <w:szCs w:val="32"/>
          <w:lang w:val="en-US" w:eastAsia="zh-CN" w:bidi="ar-SA"/>
        </w:rPr>
        <w:t>3.</w:t>
      </w:r>
      <w:r>
        <w:rPr>
          <w:rStyle w:val="21"/>
          <w:rFonts w:ascii="仿宋_GB2312" w:hAnsi="ˎ̥" w:eastAsia="仿宋_GB2312" w:cs="Times New Roman"/>
          <w:b/>
          <w:bCs/>
          <w:i w:val="0"/>
          <w:caps w:val="0"/>
          <w:color w:val="auto"/>
          <w:spacing w:val="0"/>
          <w:w w:val="100"/>
          <w:kern w:val="2"/>
          <w:sz w:val="32"/>
          <w:szCs w:val="32"/>
          <w:lang w:val="en-US" w:eastAsia="zh-CN" w:bidi="ar-SA"/>
        </w:rPr>
        <w:t>社会保障和就业支出</w:t>
      </w:r>
      <w:r>
        <w:rPr>
          <w:rStyle w:val="21"/>
          <w:rFonts w:hint="eastAsia" w:ascii="仿宋_GB2312" w:hAnsi="ˎ̥" w:eastAsia="仿宋_GB2312"/>
          <w:b/>
          <w:i w:val="0"/>
          <w:caps w:val="0"/>
          <w:color w:val="auto"/>
          <w:spacing w:val="0"/>
          <w:w w:val="100"/>
          <w:kern w:val="2"/>
          <w:sz w:val="32"/>
          <w:szCs w:val="32"/>
          <w:lang w:val="en-US" w:eastAsia="zh-CN" w:bidi="ar-SA"/>
        </w:rPr>
        <w:t xml:space="preserve">行政事业单位养老支出 </w:t>
      </w:r>
      <w:bookmarkStart w:id="97" w:name="OLE_LINK5"/>
      <w:r>
        <w:rPr>
          <w:rStyle w:val="21"/>
          <w:rFonts w:hint="eastAsia" w:ascii="仿宋_GB2312" w:hAnsi="ˎ̥" w:eastAsia="仿宋_GB2312"/>
          <w:b/>
          <w:i w:val="0"/>
          <w:caps w:val="0"/>
          <w:color w:val="auto"/>
          <w:spacing w:val="0"/>
          <w:w w:val="100"/>
          <w:kern w:val="2"/>
          <w:sz w:val="32"/>
          <w:szCs w:val="32"/>
          <w:lang w:val="en-US" w:eastAsia="zh-CN" w:bidi="ar-SA"/>
        </w:rPr>
        <w:t>机关事业单位基本养老保险缴费支出</w:t>
      </w:r>
      <w:bookmarkEnd w:id="97"/>
      <w:r>
        <w:rPr>
          <w:rStyle w:val="21"/>
          <w:rFonts w:hint="eastAsia" w:ascii="仿宋_GB2312" w:hAnsi="ˎ̥" w:eastAsia="仿宋_GB2312"/>
          <w:b/>
          <w:i w:val="0"/>
          <w:caps w:val="0"/>
          <w:color w:val="auto"/>
          <w:spacing w:val="0"/>
          <w:w w:val="100"/>
          <w:kern w:val="2"/>
          <w:sz w:val="32"/>
          <w:szCs w:val="32"/>
          <w:lang w:val="en-US" w:eastAsia="zh-CN" w:bidi="ar-SA"/>
        </w:rPr>
        <w:t>。</w:t>
      </w:r>
      <w:bookmarkStart w:id="98" w:name="OLE_LINK7"/>
    </w:p>
    <w:p w14:paraId="7FAD00F2">
      <w:pPr>
        <w:numPr>
          <w:ilvl w:val="0"/>
          <w:numId w:val="0"/>
        </w:numPr>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年初预算为</w:t>
      </w:r>
      <w:r>
        <w:rPr>
          <w:rFonts w:hint="eastAsia" w:ascii="仿宋_GB2312" w:hAnsi="黑体" w:eastAsia="仿宋_GB2312"/>
          <w:color w:val="auto"/>
          <w:sz w:val="32"/>
          <w:szCs w:val="32"/>
          <w:lang w:val="en-US" w:eastAsia="zh-CN"/>
        </w:rPr>
        <w:t>23.66</w:t>
      </w:r>
      <w:r>
        <w:rPr>
          <w:rFonts w:hint="eastAsia" w:ascii="仿宋_GB2312" w:hAnsi="ˎ̥" w:eastAsia="仿宋_GB2312"/>
          <w:color w:val="auto"/>
          <w:sz w:val="32"/>
          <w:szCs w:val="32"/>
        </w:rPr>
        <w:t>万元，支出决算为25.8万元，</w:t>
      </w:r>
      <w:bookmarkEnd w:id="98"/>
      <w:bookmarkStart w:id="99" w:name="OLE_LINK8"/>
      <w:r>
        <w:rPr>
          <w:rFonts w:hint="eastAsia" w:ascii="仿宋_GB2312" w:hAnsi="ˎ̥" w:eastAsia="仿宋_GB2312"/>
          <w:color w:val="auto"/>
          <w:sz w:val="32"/>
          <w:szCs w:val="32"/>
        </w:rPr>
        <w:t>完成年初预算的</w:t>
      </w:r>
      <w:r>
        <w:rPr>
          <w:rFonts w:hint="eastAsia" w:ascii="仿宋_GB2312" w:hAnsi="ˎ̥" w:eastAsia="仿宋_GB2312"/>
          <w:color w:val="auto"/>
          <w:sz w:val="32"/>
          <w:szCs w:val="32"/>
          <w:lang w:val="en-US" w:eastAsia="zh-CN"/>
        </w:rPr>
        <w:t xml:space="preserve"> 109</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大于</w:t>
      </w:r>
      <w:r>
        <w:rPr>
          <w:rFonts w:hint="eastAsia" w:ascii="仿宋_GB2312" w:hAnsi="ˎ̥" w:eastAsia="仿宋_GB2312"/>
          <w:color w:val="auto"/>
          <w:sz w:val="32"/>
          <w:szCs w:val="32"/>
        </w:rPr>
        <w:t>预算数的主要原因：</w:t>
      </w:r>
      <w:bookmarkEnd w:id="99"/>
      <w:bookmarkStart w:id="100" w:name="OLE_LINK12"/>
      <w:r>
        <w:rPr>
          <w:rFonts w:hint="eastAsia" w:ascii="仿宋_GB2312" w:hAnsi="ˎ̥" w:eastAsia="仿宋_GB2312"/>
          <w:color w:val="auto"/>
          <w:sz w:val="32"/>
          <w:szCs w:val="32"/>
          <w:lang w:val="en-US" w:eastAsia="zh-CN"/>
        </w:rPr>
        <w:t>新增2名教师</w:t>
      </w:r>
      <w:r>
        <w:rPr>
          <w:rFonts w:hint="eastAsia" w:ascii="仿宋_GB2312" w:hAnsi="ˎ̥" w:eastAsia="仿宋_GB2312"/>
          <w:color w:val="auto"/>
          <w:sz w:val="32"/>
          <w:szCs w:val="32"/>
          <w:lang w:eastAsia="zh-CN"/>
        </w:rPr>
        <w:t>工资</w:t>
      </w:r>
      <w:r>
        <w:rPr>
          <w:rFonts w:hint="eastAsia" w:ascii="仿宋_GB2312" w:hAnsi="ˎ̥" w:eastAsia="仿宋_GB2312"/>
          <w:color w:val="auto"/>
          <w:sz w:val="32"/>
          <w:szCs w:val="32"/>
          <w:lang w:val="en-US" w:eastAsia="zh-CN"/>
        </w:rPr>
        <w:t>社保等</w:t>
      </w:r>
      <w:r>
        <w:rPr>
          <w:rFonts w:hint="eastAsia" w:ascii="仿宋_GB2312" w:hAnsi="ˎ̥" w:eastAsia="仿宋_GB2312"/>
          <w:color w:val="auto"/>
          <w:sz w:val="32"/>
          <w:szCs w:val="32"/>
          <w:lang w:eastAsia="zh-CN"/>
        </w:rPr>
        <w:t>有所调整，做资金缺口追加。</w:t>
      </w:r>
    </w:p>
    <w:p w14:paraId="2BF86A03">
      <w:pPr>
        <w:numPr>
          <w:ilvl w:val="0"/>
          <w:numId w:val="0"/>
        </w:numPr>
        <w:ind w:firstLine="643" w:firstLineChars="200"/>
        <w:rPr>
          <w:rStyle w:val="21"/>
          <w:rFonts w:hint="eastAsia" w:ascii="仿宋_GB2312" w:hAnsi="ˎ̥" w:eastAsia="仿宋_GB2312"/>
          <w:b/>
          <w:i w:val="0"/>
          <w:caps w:val="0"/>
          <w:color w:val="auto"/>
          <w:spacing w:val="0"/>
          <w:w w:val="100"/>
          <w:kern w:val="2"/>
          <w:sz w:val="32"/>
          <w:szCs w:val="32"/>
          <w:lang w:val="en-US" w:eastAsia="zh-CN" w:bidi="ar-SA"/>
        </w:rPr>
      </w:pPr>
      <w:r>
        <w:rPr>
          <w:rStyle w:val="21"/>
          <w:rFonts w:hint="eastAsia" w:ascii="仿宋_GB2312" w:hAnsi="ˎ̥" w:eastAsia="仿宋_GB2312" w:cs="Times New Roman"/>
          <w:b/>
          <w:bCs/>
          <w:i w:val="0"/>
          <w:caps w:val="0"/>
          <w:color w:val="auto"/>
          <w:spacing w:val="0"/>
          <w:w w:val="100"/>
          <w:kern w:val="2"/>
          <w:sz w:val="32"/>
          <w:szCs w:val="32"/>
          <w:lang w:val="en-US" w:eastAsia="zh-CN" w:bidi="ar-SA"/>
        </w:rPr>
        <w:t>4.</w:t>
      </w:r>
      <w:r>
        <w:rPr>
          <w:rStyle w:val="21"/>
          <w:rFonts w:ascii="仿宋_GB2312" w:hAnsi="ˎ̥" w:eastAsia="仿宋_GB2312" w:cs="Times New Roman"/>
          <w:b/>
          <w:bCs/>
          <w:i w:val="0"/>
          <w:caps w:val="0"/>
          <w:color w:val="auto"/>
          <w:spacing w:val="0"/>
          <w:w w:val="100"/>
          <w:kern w:val="2"/>
          <w:sz w:val="32"/>
          <w:szCs w:val="32"/>
          <w:lang w:val="en-US" w:eastAsia="zh-CN" w:bidi="ar-SA"/>
        </w:rPr>
        <w:t>社会保障和就业支出</w:t>
      </w:r>
      <w:r>
        <w:rPr>
          <w:rStyle w:val="21"/>
          <w:rFonts w:hint="eastAsia" w:ascii="仿宋_GB2312" w:hAnsi="ˎ̥" w:eastAsia="仿宋_GB2312"/>
          <w:b/>
          <w:i w:val="0"/>
          <w:caps w:val="0"/>
          <w:color w:val="auto"/>
          <w:spacing w:val="0"/>
          <w:w w:val="100"/>
          <w:kern w:val="2"/>
          <w:sz w:val="32"/>
          <w:szCs w:val="32"/>
          <w:lang w:val="en-US" w:eastAsia="zh-CN" w:bidi="ar-SA"/>
        </w:rPr>
        <w:t xml:space="preserve">行政事业单位养老支出 </w:t>
      </w:r>
      <w:r>
        <w:rPr>
          <w:rFonts w:hint="eastAsia" w:ascii="仿宋_GB2312" w:hAnsi="黑体" w:eastAsia="仿宋_GB2312" w:cs="仿宋_GB2312"/>
          <w:b/>
          <w:bCs/>
          <w:color w:val="auto"/>
          <w:sz w:val="32"/>
          <w:szCs w:val="32"/>
        </w:rPr>
        <w:t>机关事业单位职业年金缴费支出</w:t>
      </w:r>
      <w:r>
        <w:rPr>
          <w:rStyle w:val="21"/>
          <w:rFonts w:hint="eastAsia" w:ascii="仿宋_GB2312" w:hAnsi="ˎ̥" w:eastAsia="仿宋_GB2312"/>
          <w:b/>
          <w:i w:val="0"/>
          <w:caps w:val="0"/>
          <w:color w:val="auto"/>
          <w:spacing w:val="0"/>
          <w:w w:val="100"/>
          <w:kern w:val="2"/>
          <w:sz w:val="32"/>
          <w:szCs w:val="32"/>
          <w:lang w:val="en-US" w:eastAsia="zh-CN" w:bidi="ar-SA"/>
        </w:rPr>
        <w:t>。</w:t>
      </w:r>
    </w:p>
    <w:p w14:paraId="07A5C1F9">
      <w:pPr>
        <w:numPr>
          <w:ilvl w:val="0"/>
          <w:numId w:val="0"/>
        </w:numPr>
        <w:ind w:firstLine="640" w:firstLineChars="200"/>
        <w:rPr>
          <w:rFonts w:hint="default"/>
          <w:color w:val="auto"/>
          <w:lang w:val="en-US" w:eastAsia="zh-CN"/>
        </w:rPr>
      </w:pPr>
      <w:r>
        <w:rPr>
          <w:rFonts w:hint="eastAsia" w:ascii="仿宋_GB2312" w:hAnsi="ˎ̥" w:eastAsia="仿宋_GB2312"/>
          <w:color w:val="auto"/>
          <w:sz w:val="32"/>
          <w:szCs w:val="32"/>
        </w:rPr>
        <w:t>年初预算为</w:t>
      </w:r>
      <w:r>
        <w:rPr>
          <w:rFonts w:hint="eastAsia" w:ascii="仿宋_GB2312" w:hAnsi="黑体" w:eastAsia="仿宋_GB2312" w:cs="仿宋_GB2312"/>
          <w:color w:val="auto"/>
          <w:sz w:val="32"/>
          <w:szCs w:val="32"/>
          <w:lang w:val="en-US" w:eastAsia="zh-CN"/>
        </w:rPr>
        <w:t>11.83</w:t>
      </w:r>
      <w:r>
        <w:rPr>
          <w:rFonts w:hint="eastAsia" w:ascii="仿宋_GB2312" w:hAnsi="ˎ̥" w:eastAsia="仿宋_GB2312"/>
          <w:color w:val="auto"/>
          <w:sz w:val="32"/>
          <w:szCs w:val="32"/>
        </w:rPr>
        <w:t>万元，支出决算为12.9万元，完成年初预算的</w:t>
      </w:r>
      <w:r>
        <w:rPr>
          <w:rFonts w:hint="eastAsia" w:ascii="仿宋_GB2312" w:hAnsi="ˎ̥" w:eastAsia="仿宋_GB2312"/>
          <w:color w:val="auto"/>
          <w:sz w:val="32"/>
          <w:szCs w:val="32"/>
          <w:lang w:val="en-US" w:eastAsia="zh-CN"/>
        </w:rPr>
        <w:t>109</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大于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val="en-US" w:eastAsia="zh-CN"/>
        </w:rPr>
        <w:t>新增2名教师</w:t>
      </w:r>
      <w:r>
        <w:rPr>
          <w:rFonts w:hint="eastAsia" w:ascii="仿宋_GB2312" w:hAnsi="ˎ̥" w:eastAsia="仿宋_GB2312"/>
          <w:color w:val="auto"/>
          <w:sz w:val="32"/>
          <w:szCs w:val="32"/>
          <w:lang w:eastAsia="zh-CN"/>
        </w:rPr>
        <w:t>工资</w:t>
      </w:r>
      <w:r>
        <w:rPr>
          <w:rFonts w:hint="eastAsia" w:ascii="仿宋_GB2312" w:hAnsi="ˎ̥" w:eastAsia="仿宋_GB2312"/>
          <w:color w:val="auto"/>
          <w:sz w:val="32"/>
          <w:szCs w:val="32"/>
          <w:lang w:val="en-US" w:eastAsia="zh-CN"/>
        </w:rPr>
        <w:t>社保等</w:t>
      </w:r>
      <w:r>
        <w:rPr>
          <w:rFonts w:hint="eastAsia" w:ascii="仿宋_GB2312" w:hAnsi="ˎ̥" w:eastAsia="仿宋_GB2312"/>
          <w:color w:val="auto"/>
          <w:sz w:val="32"/>
          <w:szCs w:val="32"/>
          <w:lang w:eastAsia="zh-CN"/>
        </w:rPr>
        <w:t>有所调整，做资金缺口追加。</w:t>
      </w:r>
    </w:p>
    <w:p w14:paraId="0376BA21">
      <w:pPr>
        <w:numPr>
          <w:ilvl w:val="0"/>
          <w:numId w:val="0"/>
        </w:numPr>
        <w:ind w:firstLine="643" w:firstLineChars="200"/>
        <w:rPr>
          <w:rFonts w:hint="eastAsia" w:ascii="仿宋_GB2312" w:hAnsi="ˎ̥" w:eastAsia="仿宋_GB2312"/>
          <w:b/>
          <w:color w:val="auto"/>
          <w:sz w:val="32"/>
          <w:szCs w:val="32"/>
        </w:rPr>
      </w:pPr>
      <w:r>
        <w:rPr>
          <w:rFonts w:hint="eastAsia" w:ascii="仿宋_GB2312" w:hAnsi="ˎ̥" w:eastAsia="仿宋_GB2312"/>
          <w:b/>
          <w:bCs/>
          <w:color w:val="auto"/>
          <w:sz w:val="32"/>
          <w:szCs w:val="32"/>
          <w:lang w:val="en-US" w:eastAsia="zh-CN"/>
        </w:rPr>
        <w:t>5.</w:t>
      </w:r>
      <w:r>
        <w:rPr>
          <w:rStyle w:val="21"/>
          <w:rFonts w:hint="eastAsia" w:ascii="仿宋_GB2312" w:hAnsi="ˎ̥" w:eastAsia="仿宋_GB2312" w:cs="Times New Roman"/>
          <w:b/>
          <w:bCs/>
          <w:i w:val="0"/>
          <w:caps w:val="0"/>
          <w:color w:val="auto"/>
          <w:spacing w:val="0"/>
          <w:w w:val="100"/>
          <w:kern w:val="2"/>
          <w:sz w:val="32"/>
          <w:szCs w:val="32"/>
          <w:lang w:val="en-US" w:eastAsia="zh-CN" w:bidi="ar-SA"/>
        </w:rPr>
        <w:t>卫生健康支出</w:t>
      </w:r>
      <w:r>
        <w:rPr>
          <w:rStyle w:val="21"/>
          <w:rFonts w:hint="eastAsia" w:ascii="仿宋_GB2312" w:hAnsi="ˎ̥" w:eastAsia="仿宋_GB2312"/>
          <w:b/>
          <w:i w:val="0"/>
          <w:caps w:val="0"/>
          <w:color w:val="auto"/>
          <w:spacing w:val="0"/>
          <w:w w:val="100"/>
          <w:kern w:val="2"/>
          <w:sz w:val="32"/>
          <w:szCs w:val="32"/>
          <w:lang w:val="en-US" w:eastAsia="zh-CN" w:bidi="ar-SA"/>
        </w:rPr>
        <w:t>行政事业单位医疗</w:t>
      </w:r>
      <w:bookmarkStart w:id="101" w:name="OLE_LINK11"/>
      <w:r>
        <w:rPr>
          <w:rStyle w:val="21"/>
          <w:rFonts w:hint="eastAsia" w:ascii="仿宋_GB2312" w:hAnsi="ˎ̥" w:eastAsia="仿宋_GB2312"/>
          <w:b/>
          <w:i w:val="0"/>
          <w:caps w:val="0"/>
          <w:color w:val="auto"/>
          <w:spacing w:val="0"/>
          <w:w w:val="100"/>
          <w:kern w:val="2"/>
          <w:sz w:val="32"/>
          <w:szCs w:val="32"/>
          <w:lang w:val="en-US" w:eastAsia="zh-CN" w:bidi="ar-SA"/>
        </w:rPr>
        <w:t>事业单位医疗</w:t>
      </w:r>
      <w:bookmarkEnd w:id="101"/>
      <w:r>
        <w:rPr>
          <w:rFonts w:hint="eastAsia" w:ascii="仿宋_GB2312" w:hAnsi="ˎ̥" w:eastAsia="仿宋_GB2312"/>
          <w:b/>
          <w:color w:val="auto"/>
          <w:sz w:val="32"/>
          <w:szCs w:val="32"/>
        </w:rPr>
        <w:t>。</w:t>
      </w:r>
      <w:bookmarkEnd w:id="100"/>
    </w:p>
    <w:p w14:paraId="7B13F0C6">
      <w:pPr>
        <w:ind w:firstLine="640" w:firstLineChars="200"/>
        <w:rPr>
          <w:rFonts w:hint="eastAsia" w:ascii="仿宋_GB2312" w:hAnsi="ˎ̥" w:eastAsia="仿宋_GB2312"/>
          <w:color w:val="auto"/>
          <w:sz w:val="32"/>
          <w:szCs w:val="32"/>
          <w:lang w:eastAsia="zh-CN"/>
        </w:rPr>
      </w:pPr>
      <w:bookmarkStart w:id="102" w:name="OLE_LINK13"/>
      <w:r>
        <w:rPr>
          <w:rFonts w:hint="eastAsia" w:ascii="仿宋_GB2312" w:hAnsi="ˎ̥" w:eastAsia="仿宋_GB2312"/>
          <w:color w:val="auto"/>
          <w:sz w:val="32"/>
          <w:szCs w:val="32"/>
        </w:rPr>
        <w:t>年初预算为</w:t>
      </w:r>
      <w:r>
        <w:rPr>
          <w:rFonts w:hint="eastAsia" w:ascii="仿宋_GB2312" w:hAnsi="黑体" w:eastAsia="仿宋_GB2312" w:cs="仿宋_GB2312"/>
          <w:color w:val="auto"/>
          <w:sz w:val="32"/>
          <w:szCs w:val="32"/>
          <w:lang w:val="en-US" w:eastAsia="zh-CN"/>
        </w:rPr>
        <w:t>10.75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10.41</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97</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小于</w:t>
      </w:r>
      <w:r>
        <w:rPr>
          <w:rFonts w:hint="eastAsia" w:ascii="仿宋_GB2312" w:hAnsi="ˎ̥" w:eastAsia="仿宋_GB2312"/>
          <w:color w:val="auto"/>
          <w:sz w:val="32"/>
          <w:szCs w:val="32"/>
        </w:rPr>
        <w:t>预算数的主要原因：</w:t>
      </w:r>
      <w:bookmarkEnd w:id="102"/>
      <w:r>
        <w:rPr>
          <w:rStyle w:val="21"/>
          <w:rFonts w:hint="eastAsia" w:ascii="仿宋_GB2312" w:hAnsi="ˎ̥" w:eastAsia="仿宋_GB2312"/>
          <w:b w:val="0"/>
          <w:bCs/>
          <w:i w:val="0"/>
          <w:caps w:val="0"/>
          <w:color w:val="auto"/>
          <w:spacing w:val="0"/>
          <w:w w:val="100"/>
          <w:kern w:val="2"/>
          <w:sz w:val="32"/>
          <w:szCs w:val="32"/>
          <w:lang w:val="en-US" w:eastAsia="zh-CN" w:bidi="ar-SA"/>
        </w:rPr>
        <w:t>事业单位医疗缴费基数百分比标准降低</w:t>
      </w:r>
      <w:r>
        <w:rPr>
          <w:rFonts w:hint="eastAsia" w:ascii="仿宋_GB2312" w:hAnsi="ˎ̥" w:eastAsia="仿宋_GB2312"/>
          <w:color w:val="auto"/>
          <w:sz w:val="32"/>
          <w:szCs w:val="32"/>
          <w:lang w:eastAsia="zh-CN"/>
        </w:rPr>
        <w:t>。</w:t>
      </w:r>
    </w:p>
    <w:p w14:paraId="2F6CCF65">
      <w:pPr>
        <w:ind w:firstLine="643" w:firstLineChars="200"/>
        <w:rPr>
          <w:rFonts w:hint="eastAsia" w:ascii="仿宋_GB2312" w:hAnsi="ˎ̥" w:eastAsia="仿宋_GB2312"/>
          <w:color w:val="auto"/>
          <w:sz w:val="32"/>
          <w:szCs w:val="32"/>
        </w:rPr>
      </w:pPr>
      <w:r>
        <w:rPr>
          <w:rFonts w:hint="eastAsia" w:ascii="仿宋_GB2312" w:hAnsi="ˎ̥" w:eastAsia="仿宋_GB2312"/>
          <w:b/>
          <w:bCs/>
          <w:color w:val="auto"/>
          <w:sz w:val="32"/>
          <w:szCs w:val="32"/>
          <w:lang w:val="en-US" w:eastAsia="zh-CN"/>
        </w:rPr>
        <w:t>6</w:t>
      </w:r>
      <w:r>
        <w:rPr>
          <w:rFonts w:hint="eastAsia" w:ascii="仿宋_GB2312" w:hAnsi="ˎ̥" w:eastAsia="仿宋_GB2312"/>
          <w:color w:val="auto"/>
          <w:sz w:val="32"/>
          <w:szCs w:val="32"/>
          <w:lang w:val="en-US" w:eastAsia="zh-CN"/>
        </w:rPr>
        <w:t>.</w:t>
      </w:r>
      <w:r>
        <w:rPr>
          <w:rStyle w:val="21"/>
          <w:rFonts w:hint="eastAsia" w:ascii="仿宋_GB2312" w:hAnsi="ˎ̥" w:eastAsia="仿宋_GB2312" w:cs="Times New Roman"/>
          <w:b/>
          <w:bCs/>
          <w:i w:val="0"/>
          <w:caps w:val="0"/>
          <w:color w:val="auto"/>
          <w:spacing w:val="0"/>
          <w:w w:val="100"/>
          <w:kern w:val="2"/>
          <w:sz w:val="32"/>
          <w:szCs w:val="32"/>
          <w:lang w:val="en-US" w:eastAsia="zh-CN" w:bidi="ar-SA"/>
        </w:rPr>
        <w:t>卫生健康支出</w:t>
      </w:r>
      <w:r>
        <w:rPr>
          <w:rStyle w:val="21"/>
          <w:rFonts w:hint="eastAsia" w:ascii="仿宋_GB2312" w:hAnsi="ˎ̥" w:eastAsia="仿宋_GB2312"/>
          <w:b/>
          <w:i w:val="0"/>
          <w:caps w:val="0"/>
          <w:color w:val="auto"/>
          <w:spacing w:val="0"/>
          <w:w w:val="100"/>
          <w:kern w:val="2"/>
          <w:sz w:val="32"/>
          <w:szCs w:val="32"/>
          <w:lang w:val="en-US" w:eastAsia="zh-CN" w:bidi="ar-SA"/>
        </w:rPr>
        <w:t>行政事业单位医疗</w:t>
      </w:r>
      <w:bookmarkStart w:id="103" w:name="OLE_LINK14"/>
      <w:r>
        <w:rPr>
          <w:rStyle w:val="21"/>
          <w:rFonts w:hint="eastAsia" w:ascii="仿宋_GB2312" w:hAnsi="ˎ̥" w:eastAsia="仿宋_GB2312"/>
          <w:b/>
          <w:i w:val="0"/>
          <w:caps w:val="0"/>
          <w:color w:val="auto"/>
          <w:spacing w:val="0"/>
          <w:w w:val="100"/>
          <w:kern w:val="2"/>
          <w:sz w:val="32"/>
          <w:szCs w:val="32"/>
          <w:lang w:val="en-US" w:eastAsia="zh-CN" w:bidi="ar-SA"/>
        </w:rPr>
        <w:t>公务员医疗补助</w:t>
      </w:r>
      <w:bookmarkEnd w:id="103"/>
      <w:r>
        <w:rPr>
          <w:rFonts w:hint="eastAsia" w:ascii="仿宋_GB2312" w:hAnsi="ˎ̥" w:eastAsia="仿宋_GB2312"/>
          <w:b/>
          <w:color w:val="auto"/>
          <w:sz w:val="32"/>
          <w:szCs w:val="32"/>
        </w:rPr>
        <w:t>。</w:t>
      </w:r>
    </w:p>
    <w:p w14:paraId="49148D0C">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黑体" w:eastAsia="仿宋_GB2312" w:cs="仿宋_GB2312"/>
          <w:color w:val="auto"/>
          <w:sz w:val="32"/>
          <w:szCs w:val="32"/>
          <w:lang w:val="en-US" w:eastAsia="zh-CN"/>
        </w:rPr>
        <w:t>18.44</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17.43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95</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小于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eastAsia="zh-CN"/>
        </w:rPr>
        <w:t>年初预算做</w:t>
      </w:r>
      <w:r>
        <w:rPr>
          <w:rFonts w:hint="eastAsia" w:ascii="仿宋_GB2312" w:hAnsi="ˎ̥" w:eastAsia="仿宋_GB2312"/>
          <w:color w:val="auto"/>
          <w:sz w:val="32"/>
          <w:szCs w:val="32"/>
          <w:lang w:val="en-US" w:eastAsia="zh-CN"/>
        </w:rPr>
        <w:t>多</w:t>
      </w:r>
      <w:r>
        <w:rPr>
          <w:rFonts w:hint="eastAsia" w:ascii="仿宋_GB2312" w:hAnsi="ˎ̥" w:eastAsia="仿宋_GB2312"/>
          <w:color w:val="auto"/>
          <w:sz w:val="32"/>
          <w:szCs w:val="32"/>
          <w:lang w:eastAsia="zh-CN"/>
        </w:rPr>
        <w:t>了。</w:t>
      </w:r>
    </w:p>
    <w:p w14:paraId="1042F848">
      <w:pPr>
        <w:snapToGrid/>
        <w:spacing w:before="0" w:beforeAutospacing="0" w:after="0" w:afterAutospacing="0" w:line="240" w:lineRule="auto"/>
        <w:ind w:firstLine="643" w:firstLineChars="200"/>
        <w:jc w:val="both"/>
        <w:textAlignment w:val="baseline"/>
        <w:rPr>
          <w:rStyle w:val="21"/>
          <w:rFonts w:ascii="仿宋_GB2312" w:hAnsi="ˎ̥" w:eastAsia="仿宋_GB2312"/>
          <w:b/>
          <w:i w:val="0"/>
          <w:caps w:val="0"/>
          <w:color w:val="auto"/>
          <w:spacing w:val="0"/>
          <w:w w:val="100"/>
          <w:kern w:val="2"/>
          <w:sz w:val="32"/>
          <w:szCs w:val="32"/>
          <w:lang w:val="en-US" w:eastAsia="zh-CN" w:bidi="ar-SA"/>
        </w:rPr>
      </w:pPr>
      <w:r>
        <w:rPr>
          <w:rStyle w:val="21"/>
          <w:rFonts w:hint="eastAsia" w:ascii="仿宋_GB2312" w:hAnsi="ˎ̥" w:eastAsia="仿宋_GB2312"/>
          <w:b/>
          <w:bCs/>
          <w:i w:val="0"/>
          <w:caps w:val="0"/>
          <w:color w:val="auto"/>
          <w:spacing w:val="0"/>
          <w:w w:val="100"/>
          <w:kern w:val="2"/>
          <w:sz w:val="32"/>
          <w:szCs w:val="32"/>
          <w:lang w:val="en-US" w:eastAsia="zh-CN" w:bidi="ar-SA"/>
        </w:rPr>
        <w:t>7</w:t>
      </w:r>
      <w:r>
        <w:rPr>
          <w:rStyle w:val="21"/>
          <w:rFonts w:ascii="仿宋_GB2312" w:hAnsi="ˎ̥" w:eastAsia="仿宋_GB2312"/>
          <w:b/>
          <w:bCs/>
          <w:i w:val="0"/>
          <w:caps w:val="0"/>
          <w:color w:val="auto"/>
          <w:spacing w:val="0"/>
          <w:w w:val="100"/>
          <w:kern w:val="2"/>
          <w:sz w:val="32"/>
          <w:szCs w:val="32"/>
          <w:lang w:val="en-US" w:eastAsia="zh-CN" w:bidi="ar-SA"/>
        </w:rPr>
        <w:t>.</w:t>
      </w:r>
      <w:r>
        <w:rPr>
          <w:rStyle w:val="21"/>
          <w:rFonts w:ascii="仿宋_GB2312" w:hAnsi="ˎ̥" w:eastAsia="仿宋_GB2312" w:cs="Times New Roman"/>
          <w:b/>
          <w:bCs/>
          <w:i w:val="0"/>
          <w:caps w:val="0"/>
          <w:color w:val="auto"/>
          <w:spacing w:val="0"/>
          <w:w w:val="100"/>
          <w:kern w:val="2"/>
          <w:sz w:val="32"/>
          <w:szCs w:val="32"/>
          <w:lang w:val="en-US" w:eastAsia="zh-CN" w:bidi="ar-SA"/>
        </w:rPr>
        <w:t>住房保障支出</w:t>
      </w:r>
      <w:r>
        <w:rPr>
          <w:rStyle w:val="21"/>
          <w:rFonts w:ascii="仿宋_GB2312" w:hAnsi="ˎ̥" w:eastAsia="仿宋_GB2312"/>
          <w:b/>
          <w:i w:val="0"/>
          <w:caps w:val="0"/>
          <w:color w:val="auto"/>
          <w:spacing w:val="0"/>
          <w:w w:val="100"/>
          <w:kern w:val="2"/>
          <w:sz w:val="32"/>
          <w:szCs w:val="32"/>
          <w:lang w:val="en-US" w:eastAsia="zh-CN" w:bidi="ar-SA"/>
        </w:rPr>
        <w:t>住房改革支出住房公积金。</w:t>
      </w:r>
    </w:p>
    <w:p w14:paraId="14DF9F54">
      <w:pPr>
        <w:ind w:firstLine="640" w:firstLineChars="200"/>
        <w:rPr>
          <w:rFonts w:hint="default"/>
          <w:color w:val="auto"/>
          <w:lang w:val="en-US" w:eastAsia="zh-CN"/>
        </w:rPr>
      </w:pPr>
      <w:r>
        <w:rPr>
          <w:rStyle w:val="21"/>
          <w:rFonts w:ascii="仿宋_GB2312" w:hAnsi="ˎ̥" w:eastAsia="仿宋_GB2312"/>
          <w:b w:val="0"/>
          <w:i w:val="0"/>
          <w:caps w:val="0"/>
          <w:color w:val="auto"/>
          <w:spacing w:val="0"/>
          <w:w w:val="100"/>
          <w:kern w:val="2"/>
          <w:sz w:val="32"/>
          <w:szCs w:val="32"/>
          <w:lang w:val="en-US" w:eastAsia="zh-CN" w:bidi="ar-SA"/>
        </w:rPr>
        <w:t>年初预算为</w:t>
      </w:r>
      <w:r>
        <w:rPr>
          <w:rFonts w:hint="eastAsia" w:ascii="仿宋_GB2312" w:hAnsi="黑体" w:eastAsia="仿宋_GB2312"/>
          <w:color w:val="auto"/>
          <w:sz w:val="32"/>
          <w:szCs w:val="32"/>
          <w:lang w:val="en-US" w:eastAsia="zh-CN"/>
        </w:rPr>
        <w:t>21.92</w:t>
      </w:r>
      <w:r>
        <w:rPr>
          <w:rStyle w:val="21"/>
          <w:rFonts w:ascii="仿宋_GB2312" w:hAnsi="ˎ̥" w:eastAsia="仿宋_GB2312"/>
          <w:b w:val="0"/>
          <w:i w:val="0"/>
          <w:caps w:val="0"/>
          <w:color w:val="auto"/>
          <w:spacing w:val="0"/>
          <w:w w:val="100"/>
          <w:kern w:val="2"/>
          <w:sz w:val="32"/>
          <w:szCs w:val="32"/>
          <w:lang w:val="en-US" w:eastAsia="zh-CN" w:bidi="ar-SA"/>
        </w:rPr>
        <w:t>万元，支出决算为</w:t>
      </w:r>
      <w:r>
        <w:rPr>
          <w:rStyle w:val="21"/>
          <w:rFonts w:hint="eastAsia" w:ascii="仿宋_GB2312" w:hAnsi="ˎ̥" w:eastAsia="仿宋_GB2312"/>
          <w:b w:val="0"/>
          <w:i w:val="0"/>
          <w:caps w:val="0"/>
          <w:color w:val="auto"/>
          <w:spacing w:val="0"/>
          <w:w w:val="100"/>
          <w:kern w:val="2"/>
          <w:sz w:val="32"/>
          <w:szCs w:val="32"/>
          <w:lang w:val="en-US" w:eastAsia="zh-CN" w:bidi="ar-SA"/>
        </w:rPr>
        <w:t>22.38</w:t>
      </w:r>
      <w:r>
        <w:rPr>
          <w:rStyle w:val="21"/>
          <w:rFonts w:ascii="仿宋_GB2312" w:hAnsi="ˎ̥" w:eastAsia="仿宋_GB2312"/>
          <w:b w:val="0"/>
          <w:i w:val="0"/>
          <w:caps w:val="0"/>
          <w:color w:val="auto"/>
          <w:spacing w:val="0"/>
          <w:w w:val="100"/>
          <w:kern w:val="2"/>
          <w:sz w:val="32"/>
          <w:szCs w:val="32"/>
          <w:lang w:val="en-US" w:eastAsia="zh-CN" w:bidi="ar-SA"/>
        </w:rPr>
        <w:t>万元，</w:t>
      </w:r>
      <w:r>
        <w:rPr>
          <w:rFonts w:hint="eastAsia" w:ascii="仿宋_GB2312" w:hAnsi="ˎ̥" w:eastAsia="仿宋_GB2312"/>
          <w:color w:val="auto"/>
          <w:sz w:val="32"/>
          <w:szCs w:val="32"/>
        </w:rPr>
        <w:t>完成年初预算的</w:t>
      </w:r>
      <w:r>
        <w:rPr>
          <w:rFonts w:hint="eastAsia" w:ascii="仿宋_GB2312" w:hAnsi="ˎ̥" w:eastAsia="仿宋_GB2312"/>
          <w:color w:val="auto"/>
          <w:sz w:val="32"/>
          <w:szCs w:val="32"/>
          <w:lang w:val="en-US" w:eastAsia="zh-CN"/>
        </w:rPr>
        <w:t>102</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大于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val="en-US" w:eastAsia="zh-CN"/>
        </w:rPr>
        <w:t>新增2名教师</w:t>
      </w:r>
      <w:r>
        <w:rPr>
          <w:rFonts w:hint="eastAsia" w:ascii="仿宋_GB2312" w:hAnsi="ˎ̥" w:eastAsia="仿宋_GB2312"/>
          <w:color w:val="auto"/>
          <w:sz w:val="32"/>
          <w:szCs w:val="32"/>
          <w:lang w:eastAsia="zh-CN"/>
        </w:rPr>
        <w:t>工资</w:t>
      </w:r>
      <w:r>
        <w:rPr>
          <w:rFonts w:hint="eastAsia" w:ascii="仿宋_GB2312" w:hAnsi="ˎ̥" w:eastAsia="仿宋_GB2312"/>
          <w:color w:val="auto"/>
          <w:sz w:val="32"/>
          <w:szCs w:val="32"/>
          <w:lang w:val="en-US" w:eastAsia="zh-CN"/>
        </w:rPr>
        <w:t>社保等</w:t>
      </w:r>
      <w:r>
        <w:rPr>
          <w:rFonts w:hint="eastAsia" w:ascii="仿宋_GB2312" w:hAnsi="ˎ̥" w:eastAsia="仿宋_GB2312"/>
          <w:color w:val="auto"/>
          <w:sz w:val="32"/>
          <w:szCs w:val="32"/>
          <w:lang w:eastAsia="zh-CN"/>
        </w:rPr>
        <w:t>有所调整，做资金缺口追加。</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6C24DF02">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eastAsia="zh-CN"/>
        </w:rPr>
        <w:t>299.65</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293.98</w:t>
      </w:r>
      <w:r>
        <w:rPr>
          <w:rFonts w:hint="eastAsia" w:ascii="仿宋_GB2312" w:hAnsi="ˎ̥" w:eastAsia="仿宋_GB2312"/>
          <w:color w:val="auto"/>
          <w:sz w:val="32"/>
          <w:szCs w:val="32"/>
        </w:rPr>
        <w:t>万元，主要包括：工资福利支出中的基本工资、基本工资、津贴补贴、绩效工资、机关事业单位基本养老保险缴费、职业年金缴费、职工基本医疗保险缴费、公务员医疗补助缴费、其他社会保障缴费、住房公积金</w:t>
      </w:r>
      <w:r>
        <w:rPr>
          <w:rFonts w:hint="eastAsia" w:ascii="仿宋_GB2312" w:eastAsia="仿宋_GB2312"/>
          <w:color w:val="auto"/>
          <w:sz w:val="32"/>
          <w:szCs w:val="32"/>
        </w:rPr>
        <w:t>。</w:t>
      </w:r>
      <w:r>
        <w:rPr>
          <w:rFonts w:hint="eastAsia" w:ascii="仿宋_GB2312" w:hAnsi="ˎ̥" w:eastAsia="仿宋_GB2312"/>
          <w:color w:val="auto"/>
          <w:sz w:val="32"/>
          <w:szCs w:val="32"/>
        </w:rPr>
        <w:t>公用经费</w:t>
      </w:r>
      <w:r>
        <w:rPr>
          <w:rFonts w:ascii="仿宋_GB2312" w:hAnsi="ˎ̥" w:eastAsia="仿宋_GB2312"/>
          <w:color w:val="auto"/>
          <w:sz w:val="32"/>
          <w:szCs w:val="32"/>
          <w:lang w:val="en-US"/>
        </w:rPr>
        <w:t>5.67</w:t>
      </w:r>
      <w:r>
        <w:rPr>
          <w:rFonts w:hint="eastAsia" w:ascii="仿宋_GB2312" w:hAnsi="ˎ̥" w:eastAsia="仿宋_GB2312"/>
          <w:color w:val="auto"/>
          <w:sz w:val="32"/>
          <w:szCs w:val="32"/>
        </w:rPr>
        <w:t>万元，主要包括：商品和服务支出中的邮电费、工会经费</w:t>
      </w:r>
      <w:r>
        <w:rPr>
          <w:rFonts w:hint="eastAsia" w:ascii="仿宋_GB2312" w:hAnsi="ˎ̥" w:eastAsia="仿宋_GB2312"/>
          <w:color w:val="auto"/>
          <w:sz w:val="32"/>
          <w:szCs w:val="32"/>
          <w:lang w:eastAsia="zh-CN"/>
        </w:rPr>
        <w:t>。</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w:t>
      </w:r>
      <w:r>
        <w:rPr>
          <w:rFonts w:hint="eastAsia" w:ascii="仿宋_GB2312" w:hAnsi="ˎ̥" w:eastAsia="仿宋_GB2312"/>
          <w:color w:val="auto"/>
          <w:sz w:val="32"/>
          <w:szCs w:val="32"/>
          <w:lang w:eastAsia="zh-CN"/>
        </w:rPr>
        <w:t>增加0万元</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增长0%</w:t>
      </w:r>
      <w:r>
        <w:rPr>
          <w:rFonts w:hint="eastAsia" w:ascii="仿宋_GB2312" w:hAnsi="ˎ̥" w:eastAsia="仿宋_GB2312"/>
          <w:color w:val="auto"/>
          <w:sz w:val="32"/>
          <w:szCs w:val="32"/>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5BAB1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万元，主要用于以下方面：</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5E2A6D6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14:paraId="5E6A22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年度相比，国有资本经营预算财政拨款支出</w:t>
      </w:r>
      <w:r>
        <w:rPr>
          <w:rFonts w:hint="eastAsia" w:ascii="仿宋_GB2312" w:hAnsi="ˎ̥" w:eastAsia="仿宋_GB2312"/>
          <w:color w:val="auto"/>
          <w:sz w:val="32"/>
          <w:szCs w:val="32"/>
          <w:lang w:eastAsia="zh-CN"/>
        </w:rPr>
        <w:t>增加0万元</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增长0%</w:t>
      </w:r>
      <w:r>
        <w:rPr>
          <w:rFonts w:hint="eastAsia" w:ascii="仿宋_GB2312" w:hAnsi="ˎ̥" w:eastAsia="仿宋_GB2312"/>
          <w:color w:val="auto"/>
          <w:sz w:val="32"/>
          <w:szCs w:val="32"/>
        </w:rPr>
        <w:t>。</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14:paraId="2CDBB1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万元，主要用于以下方面：</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14:paraId="4FEB03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1367A2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w:t>
      </w:r>
      <w:r>
        <w:rPr>
          <w:rFonts w:hint="eastAsia" w:ascii="仿宋_GB2312" w:hAnsi="ˎ̥" w:eastAsia="仿宋_GB2312"/>
          <w:color w:val="auto"/>
          <w:sz w:val="32"/>
          <w:szCs w:val="32"/>
          <w:lang w:eastAsia="zh-CN"/>
        </w:rPr>
        <w:t>增加0万元</w:t>
      </w:r>
      <w:r>
        <w:rPr>
          <w:rFonts w:ascii="仿宋_GB2312" w:hAnsi="ˎ̥" w:eastAsia="仿宋_GB2312"/>
          <w:color w:val="auto"/>
          <w:sz w:val="32"/>
          <w:szCs w:val="32"/>
        </w:rPr>
        <w:t>，</w:t>
      </w:r>
      <w:r>
        <w:rPr>
          <w:rFonts w:hint="eastAsia" w:ascii="仿宋_GB2312" w:hAnsi="ˎ̥" w:eastAsia="仿宋_GB2312"/>
          <w:color w:val="auto"/>
          <w:sz w:val="32"/>
          <w:szCs w:val="32"/>
          <w:lang w:eastAsia="zh-CN"/>
        </w:rPr>
        <w:t>增长0%</w:t>
      </w:r>
      <w:r>
        <w:rPr>
          <w:rFonts w:hint="eastAsia" w:ascii="仿宋_GB2312" w:hAnsi="ˎ̥" w:eastAsia="仿宋_GB2312"/>
          <w:color w:val="auto"/>
          <w:sz w:val="32"/>
          <w:szCs w:val="32"/>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7B26A5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%；公务用车购置及运行维护费支出决算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%；公务接待费支出决算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%。具体情况如下：</w:t>
      </w:r>
    </w:p>
    <w:p w14:paraId="398AB8F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人次。开支内容包括：</w:t>
      </w:r>
    </w:p>
    <w:p w14:paraId="732BBD5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因公出国（境）费支出决算</w:t>
      </w:r>
      <w:r>
        <w:rPr>
          <w:rFonts w:hint="eastAsia" w:ascii="仿宋_GB2312" w:hAnsi="ˎ̥" w:eastAsia="仿宋_GB2312"/>
          <w:color w:val="auto"/>
          <w:sz w:val="32"/>
          <w:szCs w:val="32"/>
          <w:lang w:val="en-US" w:eastAsia="zh-CN"/>
        </w:rPr>
        <w:t>数</w:t>
      </w:r>
      <w:r>
        <w:rPr>
          <w:rFonts w:hint="eastAsia" w:ascii="仿宋_GB2312" w:hAnsi="ˎ̥" w:eastAsia="仿宋_GB2312"/>
          <w:color w:val="auto"/>
          <w:sz w:val="32"/>
          <w:szCs w:val="32"/>
        </w:rPr>
        <w:t>比预算数</w:t>
      </w:r>
      <w:r>
        <w:rPr>
          <w:rFonts w:hint="eastAsia" w:ascii="仿宋_GB2312" w:hAnsi="ˎ̥" w:eastAsia="仿宋_GB2312"/>
          <w:color w:val="auto"/>
          <w:sz w:val="32"/>
          <w:szCs w:val="32"/>
          <w:lang w:eastAsia="zh-CN"/>
        </w:rPr>
        <w:t>增加0万元</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完成预算的0</w:t>
      </w:r>
      <w:r>
        <w:rPr>
          <w:rFonts w:hint="default"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因公出国（境）费支出</w:t>
      </w:r>
      <w:r>
        <w:rPr>
          <w:rFonts w:hint="eastAsia" w:ascii="仿宋_GB2312" w:hAnsi="ˎ̥" w:eastAsia="仿宋_GB2312"/>
          <w:color w:val="auto"/>
          <w:sz w:val="32"/>
          <w:szCs w:val="32"/>
          <w:lang w:eastAsia="zh-CN"/>
        </w:rPr>
        <w:t>增加0万元</w:t>
      </w:r>
      <w:r>
        <w:rPr>
          <w:rFonts w:ascii="仿宋_GB2312" w:hAnsi="ˎ̥" w:eastAsia="仿宋_GB2312"/>
          <w:color w:val="auto"/>
          <w:sz w:val="32"/>
          <w:szCs w:val="32"/>
        </w:rPr>
        <w:t>，</w:t>
      </w:r>
      <w:r>
        <w:rPr>
          <w:rFonts w:hint="eastAsia" w:ascii="仿宋_GB2312" w:hAnsi="ˎ̥" w:eastAsia="仿宋_GB2312"/>
          <w:color w:val="auto"/>
          <w:sz w:val="32"/>
          <w:szCs w:val="32"/>
          <w:lang w:eastAsia="zh-CN"/>
        </w:rPr>
        <w:t>增长0%</w:t>
      </w:r>
      <w:r>
        <w:rPr>
          <w:rFonts w:hint="eastAsia" w:ascii="仿宋_GB2312" w:hAnsi="ˎ̥" w:eastAsia="仿宋_GB2312"/>
          <w:color w:val="auto"/>
          <w:sz w:val="32"/>
          <w:szCs w:val="32"/>
        </w:rPr>
        <w:t>。</w:t>
      </w:r>
    </w:p>
    <w:p w14:paraId="7772B6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万元。其中：</w:t>
      </w:r>
    </w:p>
    <w:p w14:paraId="0BB159C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辆，年末公务用车保有量</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p>
    <w:p w14:paraId="2F0F80C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314933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rPr>
      </w:pPr>
      <w:r>
        <w:rPr>
          <w:rFonts w:hint="eastAsia" w:ascii="仿宋_GB2312" w:hAnsi="ˎ̥" w:eastAsia="仿宋_GB2312"/>
          <w:bCs/>
          <w:color w:val="auto"/>
          <w:sz w:val="32"/>
          <w:szCs w:val="32"/>
        </w:rPr>
        <w:t>公务用车购置及运行维护费支出决算数</w:t>
      </w:r>
      <w:r>
        <w:rPr>
          <w:rFonts w:hint="eastAsia" w:ascii="仿宋_GB2312" w:hAnsi="ˎ̥" w:eastAsia="仿宋_GB2312"/>
          <w:color w:val="auto"/>
          <w:sz w:val="32"/>
          <w:szCs w:val="32"/>
        </w:rPr>
        <w:t>比预算数</w:t>
      </w:r>
      <w:r>
        <w:rPr>
          <w:rFonts w:hint="eastAsia" w:ascii="仿宋_GB2312" w:hAnsi="ˎ̥" w:eastAsia="仿宋_GB2312"/>
          <w:color w:val="auto"/>
          <w:sz w:val="32"/>
          <w:szCs w:val="32"/>
          <w:lang w:eastAsia="zh-CN"/>
        </w:rPr>
        <w:t>增加0万元</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完成预算的0</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公务用车购置及运行维护费</w:t>
      </w:r>
      <w:r>
        <w:rPr>
          <w:rFonts w:hint="eastAsia" w:ascii="仿宋_GB2312" w:hAnsi="ˎ̥" w:eastAsia="仿宋_GB2312"/>
          <w:color w:val="auto"/>
          <w:sz w:val="32"/>
          <w:szCs w:val="32"/>
        </w:rPr>
        <w:t>支出</w:t>
      </w:r>
      <w:r>
        <w:rPr>
          <w:rFonts w:hint="eastAsia" w:ascii="仿宋_GB2312" w:hAnsi="ˎ̥" w:eastAsia="仿宋_GB2312"/>
          <w:color w:val="auto"/>
          <w:sz w:val="32"/>
          <w:szCs w:val="32"/>
          <w:lang w:eastAsia="zh-CN"/>
        </w:rPr>
        <w:t>增加0万元</w:t>
      </w:r>
      <w:r>
        <w:rPr>
          <w:rFonts w:ascii="仿宋_GB2312" w:hAnsi="ˎ̥" w:eastAsia="仿宋_GB2312"/>
          <w:color w:val="auto"/>
          <w:sz w:val="32"/>
          <w:szCs w:val="32"/>
        </w:rPr>
        <w:t>，</w:t>
      </w:r>
      <w:r>
        <w:rPr>
          <w:rFonts w:hint="eastAsia" w:ascii="仿宋_GB2312" w:hAnsi="ˎ̥" w:eastAsia="仿宋_GB2312"/>
          <w:color w:val="auto"/>
          <w:sz w:val="32"/>
          <w:szCs w:val="32"/>
          <w:lang w:eastAsia="zh-CN"/>
        </w:rPr>
        <w:t>增长0%</w:t>
      </w:r>
      <w:r>
        <w:rPr>
          <w:rFonts w:hint="eastAsia" w:ascii="仿宋_GB2312" w:hAnsi="ˎ̥" w:eastAsia="仿宋_GB2312"/>
          <w:color w:val="auto"/>
          <w:sz w:val="32"/>
          <w:szCs w:val="32"/>
        </w:rPr>
        <w:t>。</w:t>
      </w:r>
    </w:p>
    <w:p w14:paraId="4815CAD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万元，其中：</w:t>
      </w:r>
    </w:p>
    <w:p w14:paraId="0444BB1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4AC126C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037430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公务接待费支出决算数比预算数</w:t>
      </w:r>
      <w:r>
        <w:rPr>
          <w:rFonts w:hint="eastAsia" w:ascii="仿宋_GB2312" w:hAnsi="ˎ̥" w:eastAsia="仿宋_GB2312"/>
          <w:color w:val="auto"/>
          <w:sz w:val="32"/>
          <w:szCs w:val="32"/>
          <w:lang w:eastAsia="zh-CN"/>
        </w:rPr>
        <w:t>增加0万元</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完成预算的0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eastAsia="zh-CN"/>
        </w:rPr>
        <w:t>增加0万元</w:t>
      </w:r>
      <w:r>
        <w:rPr>
          <w:rFonts w:ascii="仿宋_GB2312" w:hAnsi="ˎ̥" w:eastAsia="仿宋_GB2312"/>
          <w:color w:val="auto"/>
          <w:sz w:val="32"/>
          <w:szCs w:val="32"/>
        </w:rPr>
        <w:t>，</w:t>
      </w:r>
      <w:r>
        <w:rPr>
          <w:rFonts w:hint="eastAsia" w:ascii="仿宋_GB2312" w:hAnsi="ˎ̥" w:eastAsia="仿宋_GB2312"/>
          <w:color w:val="auto"/>
          <w:sz w:val="32"/>
          <w:szCs w:val="32"/>
          <w:lang w:eastAsia="zh-CN"/>
        </w:rPr>
        <w:t>增长0%</w:t>
      </w:r>
      <w:r>
        <w:rPr>
          <w:rFonts w:hint="eastAsia" w:ascii="仿宋_GB2312" w:hAnsi="ˎ̥" w:eastAsia="仿宋_GB2312"/>
          <w:color w:val="auto"/>
          <w:sz w:val="32"/>
          <w:szCs w:val="32"/>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14:paraId="3F2D6FB1">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根据财政预算绩效管理要求，可按照如下格式说明：根据预算管理要求，我部门（单位）组织对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共涉及资金402.47万元，占一般公共预算项目支出总额的100%</w:t>
      </w:r>
      <w:r>
        <w:rPr>
          <w:rFonts w:hint="eastAsia" w:ascii="仿宋_GB2312" w:eastAsia="仿宋_GB2312"/>
          <w:color w:val="auto"/>
          <w:sz w:val="32"/>
          <w:szCs w:val="32"/>
        </w:rPr>
        <w:t>。</w:t>
      </w:r>
    </w:p>
    <w:p w14:paraId="6D55FDFF">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共组织对“</w:t>
      </w:r>
      <w:r>
        <w:rPr>
          <w:rFonts w:hint="default" w:ascii="仿宋_GB2312" w:eastAsia="仿宋_GB2312"/>
          <w:color w:val="auto"/>
          <w:sz w:val="32"/>
          <w:szCs w:val="32"/>
          <w:lang w:val="en-US"/>
        </w:rPr>
        <w:t>支持学前教育发展经费</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公办幼儿园</w:t>
      </w:r>
      <w:r>
        <w:rPr>
          <w:rFonts w:hint="eastAsia" w:ascii="仿宋" w:hAnsi="仿宋" w:eastAsia="仿宋" w:cs="仿宋"/>
          <w:i w:val="0"/>
          <w:iCs w:val="0"/>
          <w:color w:val="auto"/>
          <w:kern w:val="0"/>
          <w:sz w:val="30"/>
          <w:szCs w:val="30"/>
          <w:u w:val="none"/>
          <w:lang w:val="en-US" w:eastAsia="zh-CN" w:bidi="ar"/>
        </w:rPr>
        <w:t>公用经费</w:t>
      </w:r>
      <w:r>
        <w:rPr>
          <w:rFonts w:hint="eastAsia" w:ascii="仿宋_GB2312" w:eastAsia="仿宋_GB2312"/>
          <w:color w:val="auto"/>
          <w:sz w:val="32"/>
          <w:szCs w:val="32"/>
          <w:lang w:val="en-US" w:eastAsia="zh-CN"/>
        </w:rPr>
        <w:t xml:space="preserve">”等19 </w:t>
      </w:r>
      <w:r>
        <w:rPr>
          <w:rFonts w:hint="eastAsia" w:ascii="仿宋_GB2312" w:eastAsia="仿宋_GB2312"/>
          <w:color w:val="auto"/>
          <w:sz w:val="32"/>
          <w:szCs w:val="32"/>
        </w:rPr>
        <w:t>个项目开展了绩效自评，</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rPr>
        <w:t>402.47</w:t>
      </w:r>
      <w:r>
        <w:rPr>
          <w:rFonts w:hint="eastAsia" w:ascii="仿宋_GB2312" w:eastAsia="仿宋_GB2312"/>
          <w:color w:val="auto"/>
          <w:sz w:val="32"/>
          <w:szCs w:val="32"/>
          <w:lang w:bidi="ar"/>
        </w:rPr>
        <w:t>万元，</w:t>
      </w:r>
      <w:r>
        <w:rPr>
          <w:rFonts w:hint="eastAsia" w:ascii="仿宋_GB2312" w:eastAsia="仿宋_GB2312"/>
          <w:color w:val="auto"/>
          <w:sz w:val="32"/>
          <w:szCs w:val="32"/>
        </w:rPr>
        <w:t>自评覆盖率达到</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r>
        <w:rPr>
          <w:rFonts w:hint="eastAsia" w:ascii="仿宋_GB2312" w:eastAsia="仿宋_GB2312"/>
          <w:color w:val="auto"/>
          <w:sz w:val="32"/>
          <w:szCs w:val="32"/>
          <w:lang w:bidi="ar"/>
        </w:rPr>
        <w:t>政府性基金预算支出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万元，国有资本经营预算支出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w:t>
      </w:r>
    </w:p>
    <w:p w14:paraId="514A6A27">
      <w:pPr>
        <w:spacing w:line="578"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完成部门整体支出绩效评价，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rPr>
        <w:t>402.47</w:t>
      </w:r>
      <w:r>
        <w:rPr>
          <w:rFonts w:hint="eastAsia" w:ascii="仿宋_GB2312" w:eastAsia="仿宋_GB2312"/>
          <w:color w:val="auto"/>
          <w:sz w:val="32"/>
          <w:szCs w:val="32"/>
          <w:lang w:bidi="ar"/>
        </w:rPr>
        <w:t>万元，政府性基金预算支出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w:t>
      </w:r>
      <w:r>
        <w:rPr>
          <w:rFonts w:hint="eastAsia" w:ascii="仿宋_GB2312" w:eastAsia="仿宋_GB2312"/>
          <w:color w:val="auto"/>
          <w:sz w:val="32"/>
          <w:szCs w:val="32"/>
        </w:rPr>
        <w:t>从评价情况来看，</w:t>
      </w:r>
      <w:r>
        <w:rPr>
          <w:rFonts w:hint="eastAsia" w:ascii="仿宋_GB2312" w:eastAsia="仿宋_GB2312"/>
          <w:color w:val="auto"/>
          <w:sz w:val="32"/>
          <w:szCs w:val="32"/>
          <w:lang w:eastAsia="zh-CN"/>
        </w:rPr>
        <w:t>三道镇</w:t>
      </w:r>
      <w:r>
        <w:rPr>
          <w:rFonts w:hint="eastAsia" w:ascii="仿宋_GB2312" w:eastAsia="仿宋_GB2312"/>
          <w:color w:val="auto"/>
          <w:sz w:val="32"/>
          <w:szCs w:val="32"/>
        </w:rPr>
        <w:t>幼儿园</w:t>
      </w:r>
      <w:r>
        <w:rPr>
          <w:rFonts w:hint="eastAsia" w:ascii="仿宋_GB2312" w:eastAsia="仿宋_GB2312"/>
          <w:color w:val="auto"/>
          <w:sz w:val="32"/>
          <w:szCs w:val="32"/>
          <w:highlight w:val="none"/>
        </w:rPr>
        <w:t>工资奖金津补贴、养老保险、公务员医疗补助、等项目支出绩效评价</w:t>
      </w:r>
      <w:r>
        <w:rPr>
          <w:rFonts w:hint="eastAsia" w:ascii="仿宋_GB2312" w:eastAsia="仿宋_GB2312"/>
          <w:color w:val="auto"/>
          <w:sz w:val="32"/>
          <w:szCs w:val="32"/>
        </w:rPr>
        <w:t>整体支出情况</w:t>
      </w:r>
      <w:r>
        <w:rPr>
          <w:rFonts w:hint="eastAsia" w:ascii="仿宋_GB2312" w:eastAsia="仿宋_GB2312"/>
          <w:color w:val="auto"/>
          <w:sz w:val="32"/>
          <w:szCs w:val="32"/>
          <w:lang w:val="en-US" w:eastAsia="zh-CN"/>
        </w:rPr>
        <w:t>良</w:t>
      </w:r>
      <w:r>
        <w:rPr>
          <w:rFonts w:hint="eastAsia" w:ascii="仿宋_GB2312" w:eastAsia="仿宋_GB2312"/>
          <w:color w:val="auto"/>
          <w:sz w:val="32"/>
          <w:szCs w:val="32"/>
        </w:rPr>
        <w:t>好，无重复开支和乱开支现象。项目经费根据内容确定，明确资金使用范围，严格项目开支管理，严格控制经费使用。</w:t>
      </w:r>
    </w:p>
    <w:p w14:paraId="7A6704C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color w:val="auto"/>
        </w:rPr>
      </w:pPr>
      <w:r>
        <w:rPr>
          <w:rFonts w:hint="eastAsia" w:ascii="楷体" w:hAnsi="楷体" w:eastAsia="楷体" w:cs="楷体"/>
          <w:bCs/>
          <w:color w:val="auto"/>
          <w:sz w:val="32"/>
          <w:szCs w:val="32"/>
          <w:lang w:eastAsia="zh-CN"/>
        </w:rPr>
        <w:t>（</w:t>
      </w:r>
      <w:r>
        <w:rPr>
          <w:rFonts w:hint="eastAsia" w:ascii="楷体" w:hAnsi="楷体" w:eastAsia="楷体" w:cs="楷体"/>
          <w:bCs/>
          <w:color w:val="auto"/>
          <w:sz w:val="32"/>
          <w:szCs w:val="32"/>
          <w:lang w:val="en-US" w:eastAsia="zh-CN"/>
        </w:rPr>
        <w:t>二）</w:t>
      </w:r>
      <w:r>
        <w:rPr>
          <w:rFonts w:hint="eastAsia" w:ascii="楷体" w:hAnsi="楷体" w:eastAsia="楷体" w:cs="楷体"/>
          <w:bCs/>
          <w:color w:val="auto"/>
          <w:sz w:val="32"/>
          <w:szCs w:val="32"/>
        </w:rPr>
        <w:t>部门决算中项目绩效自评结果</w:t>
      </w:r>
    </w:p>
    <w:p w14:paraId="5AA8753D">
      <w:pPr>
        <w:spacing w:line="578"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rPr>
        <w:t>在部门决算中反映</w:t>
      </w:r>
      <w:r>
        <w:rPr>
          <w:rFonts w:hint="eastAsia" w:ascii="仿宋_GB2312" w:eastAsia="仿宋_GB2312"/>
          <w:color w:val="auto"/>
          <w:sz w:val="32"/>
          <w:szCs w:val="32"/>
          <w:lang w:val="en-US" w:eastAsia="zh-CN"/>
        </w:rPr>
        <w:t>工资奖金津贴补、</w:t>
      </w:r>
      <w:r>
        <w:rPr>
          <w:rFonts w:hint="eastAsia" w:ascii="仿宋_GB2312" w:eastAsia="仿宋_GB2312"/>
          <w:color w:val="auto"/>
          <w:sz w:val="32"/>
          <w:szCs w:val="32"/>
          <w:highlight w:val="none"/>
        </w:rPr>
        <w:t>养老保险、公务员医疗补助</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等</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rPr>
        <w:t>个项目绩效自评结果</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其中</w:t>
      </w:r>
      <w:r>
        <w:rPr>
          <w:rFonts w:hint="eastAsia" w:ascii="仿宋_GB2312" w:eastAsia="仿宋_GB2312"/>
          <w:color w:val="auto"/>
          <w:sz w:val="32"/>
          <w:szCs w:val="32"/>
        </w:rPr>
        <w:t>工资奖金津补贴</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是1</w:t>
      </w:r>
      <w:r>
        <w:rPr>
          <w:rFonts w:hint="eastAsia" w:ascii="仿宋_GB2312" w:eastAsia="仿宋_GB2312"/>
          <w:color w:val="auto"/>
          <w:sz w:val="32"/>
          <w:szCs w:val="32"/>
        </w:rPr>
        <w:t>个</w:t>
      </w:r>
      <w:r>
        <w:rPr>
          <w:rFonts w:hint="eastAsia" w:ascii="仿宋_GB2312" w:eastAsia="仿宋_GB2312"/>
          <w:color w:val="auto"/>
          <w:sz w:val="32"/>
          <w:szCs w:val="32"/>
          <w:lang w:eastAsia="zh-CN"/>
        </w:rPr>
        <w:t>重点</w:t>
      </w:r>
      <w:r>
        <w:rPr>
          <w:rFonts w:hint="eastAsia" w:ascii="仿宋_GB2312" w:eastAsia="仿宋_GB2312"/>
          <w:color w:val="auto"/>
          <w:sz w:val="32"/>
          <w:szCs w:val="32"/>
        </w:rPr>
        <w:t>项目绩效自评结果（包括项目绩效自评表和工资奖金津补贴项目绩效自评报告）</w:t>
      </w:r>
      <w:r>
        <w:rPr>
          <w:rFonts w:hint="eastAsia" w:ascii="仿宋_GB2312" w:eastAsia="仿宋_GB2312"/>
          <w:color w:val="auto"/>
          <w:sz w:val="32"/>
          <w:szCs w:val="32"/>
          <w:lang w:val="en-US" w:eastAsia="zh-CN"/>
        </w:rPr>
        <w:t>详见附件2</w:t>
      </w:r>
      <w:bookmarkStart w:id="128" w:name="_GoBack"/>
      <w:bookmarkEnd w:id="128"/>
    </w:p>
    <w:p w14:paraId="73599F73">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highlight w:val="none"/>
        </w:rPr>
        <w:t>根据年初设定的绩效目标，项目绩效自评得分为10分。全年预算数为</w:t>
      </w:r>
      <w:r>
        <w:rPr>
          <w:rFonts w:hint="eastAsia" w:ascii="仿宋_GB2312" w:eastAsia="仿宋_GB2312"/>
          <w:color w:val="auto"/>
          <w:sz w:val="32"/>
          <w:szCs w:val="32"/>
          <w:highlight w:val="none"/>
          <w:lang w:val="en-US" w:eastAsia="zh-CN"/>
        </w:rPr>
        <w:t>206.09</w:t>
      </w:r>
      <w:r>
        <w:rPr>
          <w:rFonts w:hint="eastAsia" w:ascii="仿宋_GB2312" w:eastAsia="仿宋_GB2312"/>
          <w:color w:val="auto"/>
          <w:sz w:val="32"/>
          <w:szCs w:val="32"/>
          <w:highlight w:val="none"/>
        </w:rPr>
        <w:t>万元，执行数为</w:t>
      </w:r>
      <w:r>
        <w:rPr>
          <w:rFonts w:hint="eastAsia" w:ascii="仿宋_GB2312" w:eastAsia="仿宋_GB2312"/>
          <w:color w:val="auto"/>
          <w:sz w:val="32"/>
          <w:szCs w:val="32"/>
          <w:highlight w:val="none"/>
          <w:lang w:val="en-US" w:eastAsia="zh-CN"/>
        </w:rPr>
        <w:t>206.09</w:t>
      </w:r>
      <w:r>
        <w:rPr>
          <w:rFonts w:hint="eastAsia" w:ascii="仿宋_GB2312" w:eastAsia="仿宋_GB2312"/>
          <w:color w:val="auto"/>
          <w:sz w:val="32"/>
          <w:szCs w:val="32"/>
          <w:highlight w:val="none"/>
        </w:rPr>
        <w:t>万元，完成预算的10</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%。项目绩效目标完成情况：</w:t>
      </w:r>
      <w:r>
        <w:rPr>
          <w:rFonts w:hint="eastAsia" w:ascii="仿宋_GB2312" w:hAnsi="仿宋_GB2312" w:eastAsia="仿宋_GB2312" w:cs="仿宋_GB2312"/>
          <w:color w:val="auto"/>
          <w:sz w:val="32"/>
          <w:szCs w:val="32"/>
          <w:highlight w:val="none"/>
        </w:rPr>
        <w:t>已根据年初预算数完成</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color w:val="auto"/>
          <w:sz w:val="32"/>
          <w:szCs w:val="32"/>
          <w:lang w:eastAsia="zh-CN"/>
        </w:rPr>
        <w:t>三道镇</w:t>
      </w:r>
      <w:r>
        <w:rPr>
          <w:rFonts w:hint="eastAsia" w:ascii="仿宋_GB2312" w:eastAsia="仿宋_GB2312"/>
          <w:color w:val="auto"/>
          <w:sz w:val="32"/>
          <w:szCs w:val="32"/>
        </w:rPr>
        <w:t>幼儿园部门整体</w:t>
      </w:r>
      <w:r>
        <w:rPr>
          <w:rFonts w:hint="eastAsia" w:ascii="仿宋_GB2312" w:eastAsia="仿宋_GB2312"/>
          <w:color w:val="auto"/>
          <w:sz w:val="32"/>
          <w:szCs w:val="32"/>
          <w:lang w:eastAsia="zh-CN"/>
        </w:rPr>
        <w:t>执行完成</w:t>
      </w:r>
      <w:r>
        <w:rPr>
          <w:rFonts w:hint="eastAsia" w:ascii="仿宋_GB2312" w:eastAsia="仿宋_GB2312"/>
          <w:color w:val="auto"/>
          <w:sz w:val="32"/>
          <w:szCs w:val="32"/>
        </w:rPr>
        <w:t>情况</w:t>
      </w:r>
      <w:r>
        <w:rPr>
          <w:rFonts w:hint="eastAsia" w:ascii="仿宋_GB2312" w:eastAsia="仿宋_GB2312"/>
          <w:color w:val="auto"/>
          <w:sz w:val="32"/>
          <w:szCs w:val="32"/>
          <w:lang w:eastAsia="zh-CN"/>
        </w:rPr>
        <w:t>：良</w:t>
      </w:r>
      <w:r>
        <w:rPr>
          <w:rFonts w:hint="eastAsia" w:ascii="仿宋_GB2312" w:eastAsia="仿宋_GB2312"/>
          <w:color w:val="auto"/>
          <w:sz w:val="32"/>
          <w:szCs w:val="32"/>
        </w:rPr>
        <w:t>好，无重复开支和乱开支现象。项目经费根据内容确定，明确资金使用范围，严格项目开支管理，严格控制经费使用</w:t>
      </w:r>
      <w:r>
        <w:rPr>
          <w:rFonts w:hint="eastAsia" w:ascii="仿宋_GB2312" w:eastAsia="仿宋_GB2312"/>
          <w:color w:val="auto"/>
          <w:sz w:val="32"/>
          <w:szCs w:val="32"/>
          <w:lang w:eastAsia="zh-CN"/>
        </w:rPr>
        <w:t>。</w:t>
      </w:r>
      <w:r>
        <w:rPr>
          <w:rFonts w:hint="eastAsia" w:ascii="仿宋" w:hAnsi="仿宋" w:eastAsia="仿宋" w:cs="仿宋"/>
          <w:color w:val="auto"/>
          <w:sz w:val="32"/>
          <w:szCs w:val="32"/>
          <w:highlight w:val="none"/>
          <w:lang w:eastAsia="zh-CN"/>
        </w:rPr>
        <w:t>合理编制年初部门预算，进一步增强支出责任，加大预算执行力度。对已下达指标的项目应按时规划并实施，及时完成项目建设。</w:t>
      </w:r>
    </w:p>
    <w:p w14:paraId="76241B72">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部门评价结果</w:t>
      </w:r>
    </w:p>
    <w:p w14:paraId="08AEFB7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lang w:val="en-US" w:eastAsia="zh-CN"/>
        </w:rPr>
        <w:t>无</w:t>
      </w:r>
    </w:p>
    <w:p w14:paraId="417321D3">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财政评价结果</w:t>
      </w:r>
    </w:p>
    <w:p w14:paraId="52EA427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lang w:val="en-US" w:eastAsia="zh-CN"/>
        </w:rPr>
        <w:t>无</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4" w:name="_Toc15262_WPSOffice_Level2"/>
      <w:bookmarkStart w:id="105" w:name="_Toc32639_WPSOffice_Level2"/>
      <w:bookmarkStart w:id="106" w:name="_Toc5978_WPSOffice_Level2"/>
      <w:bookmarkStart w:id="107" w:name="_Toc23598_WPSOffice_Level2"/>
      <w:bookmarkStart w:id="108" w:name="_Toc18325_WPSOffice_Level2"/>
      <w:bookmarkStart w:id="109" w:name="_Toc15565_WPSOffice_Level2"/>
      <w:r>
        <w:rPr>
          <w:rFonts w:hint="eastAsia" w:ascii="楷体" w:hAnsi="楷体" w:eastAsia="楷体" w:cs="楷体"/>
          <w:bCs/>
          <w:color w:val="auto"/>
          <w:sz w:val="32"/>
          <w:szCs w:val="32"/>
        </w:rPr>
        <w:t>（一）机关运行经费支出情况</w:t>
      </w:r>
      <w:bookmarkEnd w:id="104"/>
      <w:bookmarkEnd w:id="105"/>
      <w:bookmarkEnd w:id="106"/>
      <w:bookmarkEnd w:id="107"/>
      <w:bookmarkEnd w:id="108"/>
      <w:bookmarkEnd w:id="109"/>
    </w:p>
    <w:p w14:paraId="160C47A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Style w:val="21"/>
          <w:rFonts w:ascii="仿宋_GB2312" w:hAnsi="ˎ̥" w:eastAsia="仿宋_GB2312"/>
          <w:b w:val="0"/>
          <w:i w:val="0"/>
          <w:caps w:val="0"/>
          <w:color w:val="auto"/>
          <w:spacing w:val="0"/>
          <w:w w:val="100"/>
          <w:kern w:val="2"/>
          <w:sz w:val="32"/>
          <w:szCs w:val="32"/>
          <w:lang w:val="en-US" w:eastAsia="zh-CN" w:bidi="ar-SA"/>
        </w:rPr>
        <w:t>三道镇中心幼儿园</w:t>
      </w:r>
      <w:r>
        <w:rPr>
          <w:rFonts w:hint="eastAsia" w:ascii="仿宋_GB2312" w:hAnsi="ˎ̥" w:eastAsia="仿宋_GB2312"/>
          <w:color w:val="auto"/>
          <w:sz w:val="32"/>
          <w:szCs w:val="32"/>
        </w:rPr>
        <w:t>机关运行经费</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比年初预算</w:t>
      </w:r>
      <w:r>
        <w:rPr>
          <w:rFonts w:hint="eastAsia" w:ascii="仿宋_GB2312" w:hAnsi="ˎ̥" w:eastAsia="仿宋_GB2312"/>
          <w:color w:val="auto"/>
          <w:sz w:val="32"/>
          <w:szCs w:val="32"/>
          <w:lang w:eastAsia="zh-CN"/>
        </w:rPr>
        <w:t>增加0万元</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完成预算的0</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与2023年度相比，机关运行经费</w:t>
      </w:r>
      <w:r>
        <w:rPr>
          <w:rFonts w:hint="eastAsia" w:ascii="仿宋_GB2312" w:hAnsi="ˎ̥" w:eastAsia="仿宋_GB2312"/>
          <w:color w:val="auto"/>
          <w:sz w:val="32"/>
          <w:szCs w:val="32"/>
          <w:lang w:eastAsia="zh-CN"/>
        </w:rPr>
        <w:t>增加0万元，</w:t>
      </w:r>
      <w:r>
        <w:rPr>
          <w:rFonts w:hint="eastAsia" w:ascii="仿宋_GB2312" w:hAnsi="ˎ̥" w:eastAsia="仿宋_GB2312"/>
          <w:color w:val="auto"/>
          <w:sz w:val="32"/>
          <w:szCs w:val="32"/>
          <w:lang w:val="en-US" w:eastAsia="zh-CN"/>
        </w:rPr>
        <w:t>增长0%。</w:t>
      </w:r>
      <w:r>
        <w:rPr>
          <w:rFonts w:hint="eastAsia" w:ascii="仿宋_GB2312" w:hAnsi="ˎ̥" w:eastAsia="仿宋_GB2312"/>
          <w:color w:val="auto"/>
          <w:sz w:val="32"/>
          <w:szCs w:val="32"/>
        </w:rPr>
        <w:t>主要原因是：事业单位没有机关运行经费支出</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10" w:name="_Toc32689_WPSOffice_Level2"/>
      <w:bookmarkStart w:id="111" w:name="_Toc13084_WPSOffice_Level2"/>
      <w:bookmarkStart w:id="112" w:name="_Toc23966_WPSOffice_Level2"/>
      <w:bookmarkStart w:id="113" w:name="_Toc30383_WPSOffice_Level2"/>
      <w:bookmarkStart w:id="114" w:name="_Toc3131_WPSOffice_Level2"/>
      <w:bookmarkStart w:id="115" w:name="_Toc25333_WPSOffice_Level2"/>
      <w:r>
        <w:rPr>
          <w:rFonts w:hint="eastAsia" w:ascii="楷体" w:hAnsi="楷体" w:eastAsia="楷体" w:cs="楷体"/>
          <w:bCs/>
          <w:color w:val="auto"/>
          <w:sz w:val="32"/>
          <w:szCs w:val="32"/>
        </w:rPr>
        <w:t>（二）政府采购支出情况</w:t>
      </w:r>
      <w:bookmarkEnd w:id="110"/>
      <w:bookmarkEnd w:id="111"/>
      <w:bookmarkEnd w:id="112"/>
      <w:bookmarkEnd w:id="113"/>
      <w:bookmarkEnd w:id="114"/>
      <w:bookmarkEnd w:id="115"/>
    </w:p>
    <w:p w14:paraId="25335D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Style w:val="21"/>
          <w:rFonts w:ascii="仿宋_GB2312" w:hAnsi="ˎ̥" w:eastAsia="仿宋_GB2312"/>
          <w:b w:val="0"/>
          <w:i w:val="0"/>
          <w:caps w:val="0"/>
          <w:color w:val="auto"/>
          <w:spacing w:val="0"/>
          <w:w w:val="100"/>
          <w:kern w:val="2"/>
          <w:sz w:val="32"/>
          <w:szCs w:val="32"/>
          <w:lang w:val="en-US" w:eastAsia="zh-CN" w:bidi="ar-SA"/>
        </w:rPr>
        <w:t>三道镇中心幼儿园</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16" w:name="_Toc29584_WPSOffice_Level2"/>
      <w:bookmarkStart w:id="117" w:name="_Toc10902_WPSOffice_Level2"/>
      <w:bookmarkStart w:id="118" w:name="_Toc15129_WPSOffice_Level2"/>
      <w:bookmarkStart w:id="119" w:name="_Toc19989_WPSOffice_Level2"/>
      <w:bookmarkStart w:id="120" w:name="_Toc527_WPSOffice_Level2"/>
      <w:bookmarkStart w:id="121" w:name="_Toc6016_WPSOffice_Level2"/>
      <w:r>
        <w:rPr>
          <w:rFonts w:hint="eastAsia" w:ascii="楷体" w:hAnsi="楷体" w:eastAsia="楷体" w:cs="楷体"/>
          <w:bCs/>
          <w:color w:val="auto"/>
          <w:sz w:val="32"/>
          <w:szCs w:val="32"/>
        </w:rPr>
        <w:t>（三）国有资产占用情况</w:t>
      </w:r>
      <w:bookmarkEnd w:id="116"/>
      <w:bookmarkEnd w:id="117"/>
      <w:bookmarkEnd w:id="118"/>
      <w:bookmarkEnd w:id="119"/>
      <w:bookmarkEnd w:id="120"/>
      <w:bookmarkEnd w:id="121"/>
    </w:p>
    <w:p w14:paraId="51F3DE5A">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bCs/>
          <w:color w:val="auto"/>
          <w:sz w:val="32"/>
          <w:szCs w:val="32"/>
        </w:rPr>
        <w:t>截至202</w:t>
      </w:r>
      <w:r>
        <w:rPr>
          <w:rFonts w:ascii="仿宋_GB2312" w:hAnsi="ˎ̥" w:eastAsia="仿宋_GB2312"/>
          <w:bCs/>
          <w:color w:val="auto"/>
          <w:sz w:val="32"/>
          <w:szCs w:val="32"/>
        </w:rPr>
        <w:t>3</w:t>
      </w:r>
      <w:r>
        <w:rPr>
          <w:rFonts w:hint="eastAsia" w:ascii="仿宋_GB2312" w:hAnsi="ˎ̥" w:eastAsia="仿宋_GB2312"/>
          <w:bCs/>
          <w:color w:val="auto"/>
          <w:sz w:val="32"/>
          <w:szCs w:val="32"/>
        </w:rPr>
        <w:t>年12月31日，本部门拥有</w:t>
      </w:r>
      <w:r>
        <w:rPr>
          <w:rFonts w:hint="eastAsia" w:ascii="仿宋_GB2312" w:hAnsi="ˎ̥" w:eastAsia="仿宋_GB2312"/>
          <w:color w:val="auto"/>
          <w:sz w:val="32"/>
          <w:szCs w:val="32"/>
        </w:rPr>
        <w:t>房屋面积</w:t>
      </w:r>
      <w:r>
        <w:rPr>
          <w:rFonts w:hint="eastAsia" w:ascii="仿宋_GB2312" w:eastAsia="仿宋_GB2312"/>
          <w:color w:val="auto"/>
          <w:sz w:val="32"/>
          <w:szCs w:val="32"/>
        </w:rPr>
        <w:t>1285.02</w:t>
      </w:r>
      <w:r>
        <w:rPr>
          <w:rFonts w:hint="eastAsia" w:ascii="仿宋_GB2312" w:hAnsi="ˎ̥" w:eastAsia="仿宋_GB2312"/>
          <w:color w:val="auto"/>
          <w:sz w:val="32"/>
          <w:szCs w:val="32"/>
        </w:rPr>
        <w:t>平方米，其中：办公用房</w:t>
      </w:r>
      <w:r>
        <w:rPr>
          <w:rFonts w:hint="default" w:ascii="仿宋_GB2312" w:hAnsi="ˎ̥" w:eastAsia="仿宋_GB2312"/>
          <w:color w:val="auto"/>
          <w:sz w:val="32"/>
          <w:szCs w:val="32"/>
          <w:lang w:val="en-US"/>
        </w:rPr>
        <w:t>1284.02</w:t>
      </w:r>
      <w:r>
        <w:rPr>
          <w:rFonts w:hint="eastAsia" w:ascii="仿宋_GB2312" w:hAnsi="ˎ̥" w:eastAsia="仿宋_GB2312"/>
          <w:color w:val="auto"/>
          <w:sz w:val="32"/>
          <w:szCs w:val="32"/>
        </w:rPr>
        <w:t>平方米，业务用房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平方米，其他（不含构筑物）</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平方米。</w:t>
      </w:r>
    </w:p>
    <w:p w14:paraId="1E9C75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辆，其中，副部（省）级及以上领导用车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辆、主要负责人用车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辆、机要通信用车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辆、应急保障用车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辆、执法执勤用车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辆、特种专业技术用车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辆、离退休干部服务用车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辆、其他用车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val="en-US" w:eastAsia="zh-CN"/>
        </w:rPr>
        <w:t xml:space="preserve">     </w:t>
      </w:r>
    </w:p>
    <w:p w14:paraId="378F91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单价100万元（含）以上设备（不含车辆）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w:t>
      </w:r>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bookmarkStart w:id="122" w:name="_Toc15425_WPSOffice_Level1"/>
      <w:bookmarkStart w:id="123" w:name="_Toc8808_WPSOffice_Level1"/>
      <w:bookmarkStart w:id="124" w:name="_Toc8874_WPSOffice_Level1"/>
      <w:bookmarkStart w:id="125" w:name="_Toc17580_WPSOffice_Level1"/>
      <w:bookmarkStart w:id="126" w:name="_Toc4398_WPSOffice_Level1"/>
      <w:bookmarkStart w:id="127" w:name="_Toc11039_WPSOffice_Level1"/>
      <w:r>
        <w:rPr>
          <w:rFonts w:hint="eastAsia" w:ascii="黑体" w:hAnsi="ˎ̥" w:eastAsia="黑体"/>
          <w:color w:val="auto"/>
          <w:sz w:val="32"/>
          <w:szCs w:val="32"/>
        </w:rPr>
        <w:t>第四部分  名词解释</w:t>
      </w:r>
      <w:bookmarkEnd w:id="122"/>
      <w:bookmarkEnd w:id="123"/>
      <w:bookmarkEnd w:id="124"/>
      <w:bookmarkEnd w:id="125"/>
      <w:bookmarkEnd w:id="126"/>
      <w:bookmarkEnd w:id="127"/>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14:paraId="70B2D6DD">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58E9525B">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eastAsia" w:ascii="仿宋_GB2312" w:hAnsi="ˎ̥" w:eastAsia="仿宋_GB2312"/>
          <w:color w:val="auto"/>
          <w:sz w:val="32"/>
          <w:szCs w:val="32"/>
        </w:rPr>
        <w:t>十六、</w:t>
      </w:r>
      <w:r>
        <w:rPr>
          <w:rFonts w:ascii="仿宋_GB2312" w:hAnsi="ˎ̥" w:eastAsia="仿宋_GB2312"/>
          <w:color w:val="auto"/>
          <w:sz w:val="32"/>
          <w:szCs w:val="32"/>
        </w:rPr>
        <w:t>支出功能分类：</w:t>
      </w:r>
    </w:p>
    <w:p w14:paraId="06EE1BD1">
      <w:pPr>
        <w:numPr>
          <w:ilvl w:val="0"/>
          <w:numId w:val="5"/>
        </w:numPr>
        <w:spacing w:line="578" w:lineRule="exact"/>
        <w:ind w:left="0" w:leftChars="0" w:firstLine="420" w:firstLineChars="0"/>
        <w:rPr>
          <w:rFonts w:hint="eastAsia" w:ascii="仿宋_GB2312" w:hAnsi="ˎ̥" w:eastAsia="仿宋_GB2312"/>
          <w:color w:val="auto"/>
          <w:sz w:val="32"/>
          <w:szCs w:val="32"/>
          <w:highlight w:val="none"/>
        </w:rPr>
      </w:pPr>
      <w:r>
        <w:rPr>
          <w:rFonts w:hint="eastAsia" w:ascii="仿宋_GB2312" w:hAnsi="ˎ̥" w:eastAsia="仿宋_GB2312"/>
          <w:b w:val="0"/>
          <w:bCs w:val="0"/>
          <w:color w:val="auto"/>
          <w:sz w:val="32"/>
          <w:szCs w:val="32"/>
          <w:lang w:val="en-US" w:eastAsia="zh-CN"/>
        </w:rPr>
        <w:t>教育支出</w:t>
      </w:r>
      <w:r>
        <w:rPr>
          <w:rFonts w:hint="eastAsia" w:ascii="仿宋_GB2312" w:hAnsi="ˎ̥" w:eastAsia="仿宋_GB2312"/>
          <w:b w:val="0"/>
          <w:bCs w:val="0"/>
          <w:color w:val="auto"/>
          <w:sz w:val="32"/>
          <w:szCs w:val="32"/>
        </w:rPr>
        <w:t>教育管理事务</w:t>
      </w:r>
      <w:r>
        <w:rPr>
          <w:rFonts w:hint="eastAsia" w:ascii="仿宋_GB2312" w:hAnsi="ˎ̥" w:eastAsia="仿宋_GB2312"/>
          <w:b w:val="0"/>
          <w:bCs w:val="0"/>
          <w:color w:val="auto"/>
          <w:sz w:val="32"/>
          <w:szCs w:val="32"/>
          <w:lang w:eastAsia="zh-CN"/>
        </w:rPr>
        <w:t>其他教育管理事务支出</w:t>
      </w:r>
      <w:r>
        <w:rPr>
          <w:rFonts w:hint="eastAsia" w:ascii="仿宋_GB2312" w:hAnsi="ˎ̥" w:eastAsia="仿宋_GB2312"/>
          <w:color w:val="auto"/>
          <w:sz w:val="32"/>
          <w:szCs w:val="32"/>
          <w:highlight w:val="none"/>
        </w:rPr>
        <w:t>反映除上述项目以外用于教育管理事务方面的支出</w:t>
      </w:r>
    </w:p>
    <w:p w14:paraId="37DF18F7">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left="0" w:leftChars="0" w:firstLine="420" w:firstLineChars="0"/>
        <w:textAlignment w:val="auto"/>
        <w:rPr>
          <w:rFonts w:hint="eastAsia" w:ascii="仿宋_GB2312" w:hAnsi="ˎ̥" w:eastAsia="仿宋_GB2312"/>
          <w:b w:val="0"/>
          <w:bCs w:val="0"/>
          <w:color w:val="auto"/>
          <w:sz w:val="32"/>
          <w:szCs w:val="32"/>
        </w:rPr>
      </w:pPr>
      <w:r>
        <w:rPr>
          <w:rFonts w:hint="eastAsia" w:ascii="仿宋_GB2312" w:hAnsi="ˎ̥" w:eastAsia="仿宋_GB2312"/>
          <w:b w:val="0"/>
          <w:bCs w:val="0"/>
          <w:color w:val="auto"/>
          <w:sz w:val="32"/>
          <w:szCs w:val="32"/>
          <w:lang w:val="en-US" w:eastAsia="zh-CN"/>
        </w:rPr>
        <w:t>教育支出</w:t>
      </w:r>
      <w:r>
        <w:rPr>
          <w:rFonts w:hint="eastAsia" w:ascii="仿宋_GB2312" w:hAnsi="ˎ̥" w:eastAsia="仿宋_GB2312"/>
          <w:b w:val="0"/>
          <w:bCs w:val="0"/>
          <w:color w:val="auto"/>
          <w:sz w:val="32"/>
          <w:szCs w:val="32"/>
        </w:rPr>
        <w:t>普通教育</w:t>
      </w:r>
      <w:r>
        <w:rPr>
          <w:rFonts w:hint="eastAsia" w:ascii="仿宋_GB2312" w:hAnsi="ˎ̥" w:eastAsia="仿宋_GB2312"/>
          <w:b w:val="0"/>
          <w:bCs w:val="0"/>
          <w:color w:val="auto"/>
          <w:sz w:val="32"/>
          <w:szCs w:val="32"/>
          <w:lang w:eastAsia="zh-CN"/>
        </w:rPr>
        <w:t>学前教育</w:t>
      </w:r>
      <w:r>
        <w:rPr>
          <w:rFonts w:hint="eastAsia" w:ascii="仿宋_GB2312" w:hAnsi="ˎ̥" w:eastAsia="仿宋_GB2312"/>
          <w:b w:val="0"/>
          <w:bCs w:val="0"/>
          <w:color w:val="auto"/>
          <w:sz w:val="32"/>
          <w:szCs w:val="32"/>
        </w:rPr>
        <w:t>。</w:t>
      </w:r>
      <w:r>
        <w:rPr>
          <w:rFonts w:hint="eastAsia" w:ascii="仿宋_GB2312" w:hAnsi="ˎ̥" w:eastAsia="仿宋_GB2312"/>
          <w:color w:val="auto"/>
          <w:sz w:val="32"/>
          <w:szCs w:val="32"/>
          <w:highlight w:val="none"/>
        </w:rPr>
        <w:t>反映各部门举办的学</w:t>
      </w:r>
      <w:r>
        <w:rPr>
          <w:rFonts w:hint="eastAsia" w:ascii="仿宋_GB2312" w:hAnsi="ˎ̥" w:eastAsia="仿宋_GB2312"/>
          <w:color w:val="auto"/>
          <w:sz w:val="32"/>
          <w:szCs w:val="32"/>
          <w:highlight w:val="none"/>
          <w:lang w:val="en-US" w:eastAsia="zh-CN"/>
        </w:rPr>
        <w:t>前</w:t>
      </w:r>
      <w:r>
        <w:rPr>
          <w:rFonts w:hint="eastAsia" w:ascii="仿宋_GB2312" w:hAnsi="ˎ̥" w:eastAsia="仿宋_GB2312"/>
          <w:color w:val="auto"/>
          <w:sz w:val="32"/>
          <w:szCs w:val="32"/>
          <w:highlight w:val="none"/>
        </w:rPr>
        <w:t>教育支出。</w:t>
      </w:r>
    </w:p>
    <w:p w14:paraId="78CFBFAD">
      <w:pPr>
        <w:numPr>
          <w:ilvl w:val="0"/>
          <w:numId w:val="5"/>
        </w:numPr>
        <w:spacing w:line="578" w:lineRule="exact"/>
        <w:ind w:left="0" w:leftChars="0" w:firstLine="420" w:firstLineChars="0"/>
        <w:rPr>
          <w:rFonts w:hint="eastAsia" w:ascii="仿宋_GB2312" w:hAnsi="ˎ̥" w:eastAsia="仿宋_GB2312"/>
          <w:b w:val="0"/>
          <w:bCs w:val="0"/>
          <w:color w:val="auto"/>
          <w:sz w:val="32"/>
          <w:szCs w:val="32"/>
          <w:lang w:eastAsia="zh-CN"/>
        </w:rPr>
      </w:pPr>
      <w:r>
        <w:rPr>
          <w:rFonts w:hint="eastAsia" w:ascii="仿宋_GB2312" w:hAnsi="ˎ̥" w:eastAsia="仿宋_GB2312"/>
          <w:b w:val="0"/>
          <w:bCs w:val="0"/>
          <w:color w:val="auto"/>
          <w:sz w:val="32"/>
          <w:szCs w:val="32"/>
        </w:rPr>
        <w:t>社会保障和就业支出行政事业单位养老支出</w:t>
      </w:r>
      <w:r>
        <w:rPr>
          <w:rFonts w:hint="eastAsia" w:ascii="仿宋_GB2312" w:hAnsi="ˎ̥" w:eastAsia="仿宋_GB2312"/>
          <w:b w:val="0"/>
          <w:bCs w:val="0"/>
          <w:color w:val="auto"/>
          <w:sz w:val="32"/>
          <w:szCs w:val="32"/>
          <w:lang w:eastAsia="zh-CN"/>
        </w:rPr>
        <w:t>机关事业单位基本养老保险缴费支出。</w:t>
      </w:r>
      <w:r>
        <w:rPr>
          <w:rFonts w:hint="eastAsia" w:ascii="仿宋_GB2312" w:hAnsi="ˎ̥" w:eastAsia="仿宋_GB2312"/>
          <w:color w:val="auto"/>
          <w:sz w:val="32"/>
          <w:szCs w:val="32"/>
          <w:highlight w:val="none"/>
        </w:rPr>
        <w:t>反映财政部门安排的行政单位（包括实行公务员管理的事业单位）</w:t>
      </w:r>
      <w:r>
        <w:rPr>
          <w:rFonts w:hint="eastAsia" w:ascii="仿宋_GB2312" w:hAnsi="ˎ̥" w:eastAsia="仿宋_GB2312"/>
          <w:color w:val="auto"/>
          <w:sz w:val="32"/>
          <w:szCs w:val="32"/>
          <w:highlight w:val="none"/>
          <w:lang w:val="en-US" w:eastAsia="zh-CN"/>
        </w:rPr>
        <w:t>的</w:t>
      </w:r>
      <w:r>
        <w:rPr>
          <w:rFonts w:hint="eastAsia" w:ascii="仿宋_GB2312" w:hAnsi="ˎ̥" w:eastAsia="仿宋_GB2312"/>
          <w:b w:val="0"/>
          <w:bCs w:val="0"/>
          <w:color w:val="auto"/>
          <w:sz w:val="32"/>
          <w:szCs w:val="32"/>
          <w:lang w:eastAsia="zh-CN"/>
        </w:rPr>
        <w:t>机关事业单位基本养老保险缴费</w:t>
      </w:r>
    </w:p>
    <w:p w14:paraId="1C0B3080">
      <w:pPr>
        <w:numPr>
          <w:ilvl w:val="0"/>
          <w:numId w:val="5"/>
        </w:numPr>
        <w:spacing w:line="578" w:lineRule="exact"/>
        <w:ind w:left="0" w:leftChars="0" w:firstLine="420" w:firstLineChars="0"/>
        <w:rPr>
          <w:rFonts w:hint="eastAsia" w:ascii="仿宋_GB2312" w:hAnsi="ˎ̥" w:eastAsia="仿宋_GB2312"/>
          <w:b w:val="0"/>
          <w:bCs w:val="0"/>
          <w:color w:val="auto"/>
          <w:sz w:val="32"/>
          <w:szCs w:val="32"/>
        </w:rPr>
      </w:pPr>
      <w:r>
        <w:rPr>
          <w:rFonts w:hint="eastAsia" w:ascii="仿宋_GB2312" w:hAnsi="ˎ̥" w:eastAsia="仿宋_GB2312"/>
          <w:b w:val="0"/>
          <w:bCs w:val="0"/>
          <w:color w:val="auto"/>
          <w:sz w:val="32"/>
          <w:szCs w:val="32"/>
        </w:rPr>
        <w:t>社会保障和就业支出行政事业单位养老支出</w:t>
      </w:r>
      <w:r>
        <w:rPr>
          <w:rFonts w:hint="eastAsia" w:ascii="仿宋_GB2312" w:hAnsi="ˎ̥" w:eastAsia="仿宋_GB2312"/>
          <w:b w:val="0"/>
          <w:bCs w:val="0"/>
          <w:color w:val="auto"/>
          <w:sz w:val="32"/>
          <w:szCs w:val="32"/>
          <w:lang w:eastAsia="zh-CN"/>
        </w:rPr>
        <w:t>机关事业单位职业年金缴费支出。</w:t>
      </w:r>
      <w:r>
        <w:rPr>
          <w:rFonts w:hint="eastAsia" w:ascii="仿宋_GB2312" w:hAnsi="ˎ̥" w:eastAsia="仿宋_GB2312"/>
          <w:color w:val="auto"/>
          <w:sz w:val="32"/>
          <w:szCs w:val="32"/>
          <w:highlight w:val="none"/>
        </w:rPr>
        <w:t>反映财政部门安排的行政单位（包括实行公务员管理的事业单位）</w:t>
      </w:r>
      <w:r>
        <w:rPr>
          <w:rFonts w:hint="eastAsia" w:ascii="仿宋_GB2312" w:hAnsi="ˎ̥" w:eastAsia="仿宋_GB2312"/>
          <w:color w:val="auto"/>
          <w:sz w:val="32"/>
          <w:szCs w:val="32"/>
          <w:highlight w:val="none"/>
          <w:lang w:val="en-US" w:eastAsia="zh-CN"/>
        </w:rPr>
        <w:t>的</w:t>
      </w:r>
      <w:r>
        <w:rPr>
          <w:rFonts w:hint="eastAsia" w:ascii="仿宋_GB2312" w:hAnsi="ˎ̥" w:eastAsia="仿宋_GB2312"/>
          <w:b w:val="0"/>
          <w:bCs w:val="0"/>
          <w:color w:val="auto"/>
          <w:sz w:val="32"/>
          <w:szCs w:val="32"/>
          <w:lang w:eastAsia="zh-CN"/>
        </w:rPr>
        <w:t>职业年金缴费</w:t>
      </w:r>
    </w:p>
    <w:p w14:paraId="03A0956B">
      <w:pPr>
        <w:numPr>
          <w:ilvl w:val="0"/>
          <w:numId w:val="5"/>
        </w:numPr>
        <w:spacing w:line="578" w:lineRule="exact"/>
        <w:ind w:left="0" w:leftChars="0" w:firstLine="420" w:firstLineChars="0"/>
        <w:rPr>
          <w:rFonts w:hint="eastAsia" w:ascii="仿宋_GB2312" w:hAnsi="ˎ̥" w:eastAsia="仿宋_GB2312"/>
          <w:b w:val="0"/>
          <w:bCs w:val="0"/>
          <w:color w:val="auto"/>
          <w:sz w:val="32"/>
          <w:szCs w:val="32"/>
        </w:rPr>
      </w:pPr>
      <w:r>
        <w:rPr>
          <w:rFonts w:hint="eastAsia" w:ascii="仿宋_GB2312" w:hAnsi="ˎ̥" w:eastAsia="仿宋_GB2312" w:cs="Times New Roman"/>
          <w:b w:val="0"/>
          <w:bCs w:val="0"/>
          <w:color w:val="auto"/>
          <w:sz w:val="32"/>
          <w:szCs w:val="32"/>
          <w:lang w:val="en-US" w:eastAsia="zh-CN"/>
        </w:rPr>
        <w:t>卫生健康支出行政事业单位医疗事业单位医疗。</w:t>
      </w:r>
      <w:r>
        <w:rPr>
          <w:rFonts w:hint="eastAsia" w:ascii="仿宋_GB2312" w:hAnsi="ˎ̥" w:eastAsia="仿宋_GB2312"/>
          <w:color w:val="auto"/>
          <w:sz w:val="32"/>
          <w:szCs w:val="32"/>
          <w:highlight w:val="none"/>
        </w:rPr>
        <w:t>反映财政部门安排的行政单位（包括实行公务员管理的事业单位）</w:t>
      </w:r>
      <w:r>
        <w:rPr>
          <w:rFonts w:hint="eastAsia" w:ascii="仿宋_GB2312" w:hAnsi="ˎ̥" w:eastAsia="仿宋_GB2312"/>
          <w:color w:val="auto"/>
          <w:sz w:val="32"/>
          <w:szCs w:val="32"/>
          <w:highlight w:val="none"/>
          <w:lang w:val="en-US" w:eastAsia="zh-CN"/>
        </w:rPr>
        <w:t>的</w:t>
      </w:r>
      <w:r>
        <w:rPr>
          <w:rFonts w:hint="eastAsia" w:ascii="仿宋_GB2312" w:hAnsi="ˎ̥" w:eastAsia="仿宋_GB2312" w:cs="Times New Roman"/>
          <w:b w:val="0"/>
          <w:bCs w:val="0"/>
          <w:color w:val="auto"/>
          <w:sz w:val="32"/>
          <w:szCs w:val="32"/>
          <w:lang w:val="en-US" w:eastAsia="zh-CN"/>
        </w:rPr>
        <w:t>事业单位</w:t>
      </w:r>
      <w:r>
        <w:rPr>
          <w:rFonts w:hint="eastAsia" w:ascii="仿宋_GB2312" w:hAnsi="ˎ̥" w:eastAsia="仿宋_GB2312"/>
          <w:color w:val="auto"/>
          <w:sz w:val="32"/>
          <w:szCs w:val="32"/>
          <w:highlight w:val="none"/>
        </w:rPr>
        <w:t>基本医疗保险缴费经费</w:t>
      </w:r>
    </w:p>
    <w:p w14:paraId="3ED69EE1">
      <w:pPr>
        <w:numPr>
          <w:ilvl w:val="0"/>
          <w:numId w:val="5"/>
        </w:numPr>
        <w:spacing w:line="578" w:lineRule="exact"/>
        <w:ind w:left="0" w:leftChars="0" w:firstLine="420" w:firstLineChars="0"/>
        <w:rPr>
          <w:rFonts w:hint="default" w:ascii="仿宋_GB2312" w:hAnsi="ˎ̥" w:eastAsia="仿宋_GB2312" w:cs="Times New Roman"/>
          <w:b w:val="0"/>
          <w:bCs w:val="0"/>
          <w:color w:val="auto"/>
          <w:sz w:val="32"/>
          <w:szCs w:val="32"/>
          <w:lang w:val="en-US" w:eastAsia="zh-CN"/>
        </w:rPr>
      </w:pPr>
      <w:r>
        <w:rPr>
          <w:rFonts w:hint="eastAsia" w:ascii="仿宋_GB2312" w:hAnsi="ˎ̥" w:eastAsia="仿宋_GB2312" w:cs="Times New Roman"/>
          <w:b w:val="0"/>
          <w:bCs w:val="0"/>
          <w:color w:val="auto"/>
          <w:sz w:val="32"/>
          <w:szCs w:val="32"/>
          <w:lang w:val="en-US" w:eastAsia="zh-CN"/>
        </w:rPr>
        <w:t>卫生健康支出行政事业单位医疗公务员医疗补助。</w:t>
      </w:r>
    </w:p>
    <w:p w14:paraId="7B40D618">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left="0" w:leftChars="0" w:firstLine="420" w:firstLineChars="0"/>
        <w:textAlignment w:val="auto"/>
        <w:rPr>
          <w:rFonts w:hint="default" w:ascii="仿宋_GB2312" w:hAnsi="ˎ̥" w:eastAsia="仿宋_GB2312"/>
          <w:color w:val="auto"/>
          <w:sz w:val="32"/>
          <w:szCs w:val="32"/>
          <w:lang w:val="en-US" w:eastAsia="zh-CN"/>
        </w:rPr>
      </w:pPr>
      <w:r>
        <w:rPr>
          <w:rFonts w:hint="eastAsia" w:ascii="仿宋_GB2312" w:hAnsi="ˎ̥" w:eastAsia="仿宋_GB2312"/>
          <w:b w:val="0"/>
          <w:bCs w:val="0"/>
          <w:color w:val="auto"/>
          <w:sz w:val="32"/>
          <w:szCs w:val="32"/>
        </w:rPr>
        <w:t>住房保障支出住房改革支出</w:t>
      </w:r>
      <w:r>
        <w:rPr>
          <w:rFonts w:hint="eastAsia" w:ascii="仿宋_GB2312" w:hAnsi="ˎ̥" w:eastAsia="仿宋_GB2312" w:cs="Times New Roman"/>
          <w:b w:val="0"/>
          <w:bCs w:val="0"/>
          <w:color w:val="auto"/>
          <w:sz w:val="32"/>
          <w:szCs w:val="32"/>
          <w:lang w:val="en-US" w:eastAsia="zh-CN"/>
        </w:rPr>
        <w:t>住房公积金</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highlight w:val="none"/>
        </w:rPr>
        <w:t>反映行政事业单位按照人力资源和社会保障部、财政部规定的基本工资和津贴补贴以及规定比例为职工缴纳的住房公积金。</w:t>
      </w:r>
    </w:p>
    <w:p w14:paraId="6E35D591">
      <w:pPr>
        <w:keepNext w:val="0"/>
        <w:keepLines w:val="0"/>
        <w:pageBreakBefore w:val="0"/>
        <w:widowControl w:val="0"/>
        <w:kinsoku/>
        <w:wordWrap/>
        <w:overflowPunct/>
        <w:topLinePunct w:val="0"/>
        <w:autoSpaceDE/>
        <w:autoSpaceDN/>
        <w:bidi w:val="0"/>
        <w:adjustRightInd/>
        <w:snapToGrid/>
        <w:spacing w:line="578" w:lineRule="exact"/>
        <w:textAlignment w:val="auto"/>
        <w:rPr>
          <w:color w:val="auto"/>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18</w:t>
    </w:r>
    <w:r>
      <w:fldChar w:fldCharType="end"/>
    </w:r>
  </w:p>
  <w:p w14:paraId="1BD1ED8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7"/>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07FD915D">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B1916566"/>
    <w:multiLevelType w:val="singleLevel"/>
    <w:tmpl w:val="B1916566"/>
    <w:lvl w:ilvl="0" w:tentative="0">
      <w:start w:val="3"/>
      <w:numFmt w:val="chineseCounting"/>
      <w:suff w:val="nothing"/>
      <w:lvlText w:val="（%1）"/>
      <w:lvlJc w:val="left"/>
      <w:rPr>
        <w:rFonts w:hint="eastAsia"/>
      </w:rPr>
    </w:lvl>
  </w:abstractNum>
  <w:abstractNum w:abstractNumId="2">
    <w:nsid w:val="69142823"/>
    <w:multiLevelType w:val="singleLevel"/>
    <w:tmpl w:val="69142823"/>
    <w:lvl w:ilvl="0" w:tentative="0">
      <w:start w:val="1"/>
      <w:numFmt w:val="chineseCounting"/>
      <w:suff w:val="nothing"/>
      <w:lvlText w:val="%1、"/>
      <w:lvlJc w:val="left"/>
      <w:rPr>
        <w:rFonts w:hint="eastAsia"/>
      </w:rPr>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abstractNum w:abstractNumId="4">
    <w:nsid w:val="75AF63BE"/>
    <w:multiLevelType w:val="singleLevel"/>
    <w:tmpl w:val="75AF63BE"/>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3920A67"/>
    <w:rsid w:val="03990047"/>
    <w:rsid w:val="04AE18D1"/>
    <w:rsid w:val="04E86B91"/>
    <w:rsid w:val="05BB42A5"/>
    <w:rsid w:val="076B1CFB"/>
    <w:rsid w:val="07D9167A"/>
    <w:rsid w:val="07EF6488"/>
    <w:rsid w:val="08FD4BD5"/>
    <w:rsid w:val="09201287"/>
    <w:rsid w:val="093A7BD7"/>
    <w:rsid w:val="0A4725AB"/>
    <w:rsid w:val="0B4275FD"/>
    <w:rsid w:val="0E0315CF"/>
    <w:rsid w:val="0E56100F"/>
    <w:rsid w:val="0FC80124"/>
    <w:rsid w:val="10036F74"/>
    <w:rsid w:val="10615A49"/>
    <w:rsid w:val="115832F0"/>
    <w:rsid w:val="11DC5CCF"/>
    <w:rsid w:val="12843C71"/>
    <w:rsid w:val="12DC3AAD"/>
    <w:rsid w:val="136F98C7"/>
    <w:rsid w:val="13946135"/>
    <w:rsid w:val="13C06F2A"/>
    <w:rsid w:val="141C0605"/>
    <w:rsid w:val="15477903"/>
    <w:rsid w:val="16290DB7"/>
    <w:rsid w:val="169528F0"/>
    <w:rsid w:val="174165D4"/>
    <w:rsid w:val="17427E68"/>
    <w:rsid w:val="1755065F"/>
    <w:rsid w:val="183C3A34"/>
    <w:rsid w:val="192B2EA3"/>
    <w:rsid w:val="19A5109C"/>
    <w:rsid w:val="1A630051"/>
    <w:rsid w:val="1AFC29C9"/>
    <w:rsid w:val="1C33473D"/>
    <w:rsid w:val="1CA52F2E"/>
    <w:rsid w:val="1E2527AC"/>
    <w:rsid w:val="1E3630B9"/>
    <w:rsid w:val="1F070103"/>
    <w:rsid w:val="20E22BD6"/>
    <w:rsid w:val="212B632B"/>
    <w:rsid w:val="229B128E"/>
    <w:rsid w:val="237044C9"/>
    <w:rsid w:val="23D34A58"/>
    <w:rsid w:val="24997A50"/>
    <w:rsid w:val="26EEC2B5"/>
    <w:rsid w:val="2737318C"/>
    <w:rsid w:val="27557B88"/>
    <w:rsid w:val="27A24E6D"/>
    <w:rsid w:val="28445DC3"/>
    <w:rsid w:val="289F315B"/>
    <w:rsid w:val="28A15125"/>
    <w:rsid w:val="29472309"/>
    <w:rsid w:val="2967011C"/>
    <w:rsid w:val="2B406E77"/>
    <w:rsid w:val="2B7A7A58"/>
    <w:rsid w:val="2B845250"/>
    <w:rsid w:val="2C2A0C43"/>
    <w:rsid w:val="2C7D37B3"/>
    <w:rsid w:val="2D1E73A5"/>
    <w:rsid w:val="2D5C5ABE"/>
    <w:rsid w:val="2F971030"/>
    <w:rsid w:val="30D90898"/>
    <w:rsid w:val="313D78E9"/>
    <w:rsid w:val="320C360F"/>
    <w:rsid w:val="3227669B"/>
    <w:rsid w:val="32717154"/>
    <w:rsid w:val="331309CD"/>
    <w:rsid w:val="33226E62"/>
    <w:rsid w:val="335F203B"/>
    <w:rsid w:val="34B63260"/>
    <w:rsid w:val="350904B1"/>
    <w:rsid w:val="357C6CFE"/>
    <w:rsid w:val="35935DF5"/>
    <w:rsid w:val="359E7537"/>
    <w:rsid w:val="35CD7559"/>
    <w:rsid w:val="37FDA7E2"/>
    <w:rsid w:val="38591578"/>
    <w:rsid w:val="38EC419A"/>
    <w:rsid w:val="3A314D88"/>
    <w:rsid w:val="3A746883"/>
    <w:rsid w:val="3AAB598F"/>
    <w:rsid w:val="3AAD7959"/>
    <w:rsid w:val="3CA15DE9"/>
    <w:rsid w:val="3E726EF0"/>
    <w:rsid w:val="3F487C50"/>
    <w:rsid w:val="3F4B19BE"/>
    <w:rsid w:val="3F4C7741"/>
    <w:rsid w:val="3F4F5483"/>
    <w:rsid w:val="3FA550A3"/>
    <w:rsid w:val="3FBC1FB1"/>
    <w:rsid w:val="3FE61EE5"/>
    <w:rsid w:val="3FF717C7"/>
    <w:rsid w:val="406508EE"/>
    <w:rsid w:val="408D6263"/>
    <w:rsid w:val="41B40CEE"/>
    <w:rsid w:val="41B8730F"/>
    <w:rsid w:val="421F113C"/>
    <w:rsid w:val="463A4797"/>
    <w:rsid w:val="46A63BDA"/>
    <w:rsid w:val="47262F6D"/>
    <w:rsid w:val="4755115C"/>
    <w:rsid w:val="48317291"/>
    <w:rsid w:val="485F7024"/>
    <w:rsid w:val="48E70666"/>
    <w:rsid w:val="499A379E"/>
    <w:rsid w:val="49A8215A"/>
    <w:rsid w:val="49AD34D2"/>
    <w:rsid w:val="49B830EA"/>
    <w:rsid w:val="49CC7DFC"/>
    <w:rsid w:val="49DD5287"/>
    <w:rsid w:val="4B6B53F2"/>
    <w:rsid w:val="4B817718"/>
    <w:rsid w:val="4C6877E5"/>
    <w:rsid w:val="4D6A468D"/>
    <w:rsid w:val="4DB27309"/>
    <w:rsid w:val="4EA86137"/>
    <w:rsid w:val="510F244E"/>
    <w:rsid w:val="52FE6B4C"/>
    <w:rsid w:val="531B5950"/>
    <w:rsid w:val="53C75190"/>
    <w:rsid w:val="5429409D"/>
    <w:rsid w:val="55411C5E"/>
    <w:rsid w:val="56CA7FD0"/>
    <w:rsid w:val="57FA38D1"/>
    <w:rsid w:val="58C6010C"/>
    <w:rsid w:val="58E30CBE"/>
    <w:rsid w:val="59034EBC"/>
    <w:rsid w:val="5A221372"/>
    <w:rsid w:val="5BDE39BF"/>
    <w:rsid w:val="5C173C71"/>
    <w:rsid w:val="5C734107"/>
    <w:rsid w:val="5F7D3333"/>
    <w:rsid w:val="602120CC"/>
    <w:rsid w:val="60E750C3"/>
    <w:rsid w:val="61385890"/>
    <w:rsid w:val="62286BE2"/>
    <w:rsid w:val="63C139AA"/>
    <w:rsid w:val="64C23E7D"/>
    <w:rsid w:val="6530528B"/>
    <w:rsid w:val="675039C2"/>
    <w:rsid w:val="687436E1"/>
    <w:rsid w:val="6A521800"/>
    <w:rsid w:val="6C44161C"/>
    <w:rsid w:val="6DA45C50"/>
    <w:rsid w:val="6E9A7825"/>
    <w:rsid w:val="6F3C2A7E"/>
    <w:rsid w:val="6F670F9B"/>
    <w:rsid w:val="70B76860"/>
    <w:rsid w:val="71883D59"/>
    <w:rsid w:val="71ED62B2"/>
    <w:rsid w:val="73604B31"/>
    <w:rsid w:val="737450E0"/>
    <w:rsid w:val="74054476"/>
    <w:rsid w:val="742F38C4"/>
    <w:rsid w:val="74510D7A"/>
    <w:rsid w:val="74AB66DC"/>
    <w:rsid w:val="74C4154C"/>
    <w:rsid w:val="74DD616A"/>
    <w:rsid w:val="75956FFF"/>
    <w:rsid w:val="75A31161"/>
    <w:rsid w:val="76B4114C"/>
    <w:rsid w:val="77731007"/>
    <w:rsid w:val="77AA2D01"/>
    <w:rsid w:val="77B51620"/>
    <w:rsid w:val="78C338C8"/>
    <w:rsid w:val="78F9553C"/>
    <w:rsid w:val="7A3727C0"/>
    <w:rsid w:val="7A9D6AC7"/>
    <w:rsid w:val="7B095F0A"/>
    <w:rsid w:val="7B580C40"/>
    <w:rsid w:val="7B8345FE"/>
    <w:rsid w:val="7C5807CC"/>
    <w:rsid w:val="7CDE1DBD"/>
    <w:rsid w:val="7D943A85"/>
    <w:rsid w:val="7DB0448C"/>
    <w:rsid w:val="7E5F9AA4"/>
    <w:rsid w:val="7E8428C7"/>
    <w:rsid w:val="7FE0120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Indent"/>
    <w:basedOn w:val="1"/>
    <w:qFormat/>
    <w:uiPriority w:val="0"/>
    <w:pPr>
      <w:adjustRightInd w:val="0"/>
      <w:ind w:firstLine="482"/>
      <w:textAlignment w:val="baseline"/>
    </w:pPr>
    <w:rPr>
      <w:rFonts w:ascii="宋体" w:hAnsi="Calibri" w:eastAsia="宋体" w:cs="Times New Roman"/>
      <w:kern w:val="0"/>
      <w:szCs w:val="20"/>
      <w:lang w:bidi="ar-SA"/>
    </w:rPr>
  </w:style>
  <w:style w:type="paragraph" w:styleId="5">
    <w:name w:val="annotation text"/>
    <w:basedOn w:val="1"/>
    <w:link w:val="14"/>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7"/>
    <w:qFormat/>
    <w:uiPriority w:val="0"/>
    <w:rPr>
      <w:b/>
      <w:bCs/>
    </w:rPr>
  </w:style>
  <w:style w:type="character" w:styleId="12">
    <w:name w:val="page number"/>
    <w:qFormat/>
    <w:uiPriority w:val="0"/>
  </w:style>
  <w:style w:type="character" w:styleId="13">
    <w:name w:val="annotation reference"/>
    <w:qFormat/>
    <w:uiPriority w:val="0"/>
    <w:rPr>
      <w:sz w:val="21"/>
      <w:szCs w:val="21"/>
    </w:rPr>
  </w:style>
  <w:style w:type="character" w:customStyle="1" w:styleId="14">
    <w:name w:val="批注文字 Char"/>
    <w:link w:val="5"/>
    <w:qFormat/>
    <w:uiPriority w:val="0"/>
    <w:rPr>
      <w:kern w:val="2"/>
      <w:sz w:val="21"/>
      <w:szCs w:val="24"/>
    </w:rPr>
  </w:style>
  <w:style w:type="character" w:customStyle="1" w:styleId="15">
    <w:name w:val="批注框文本 Char"/>
    <w:link w:val="6"/>
    <w:qFormat/>
    <w:uiPriority w:val="0"/>
    <w:rPr>
      <w:kern w:val="2"/>
      <w:sz w:val="18"/>
      <w:szCs w:val="18"/>
    </w:rPr>
  </w:style>
  <w:style w:type="character" w:customStyle="1" w:styleId="16">
    <w:name w:val="页眉 Char"/>
    <w:link w:val="8"/>
    <w:qFormat/>
    <w:uiPriority w:val="0"/>
    <w:rPr>
      <w:kern w:val="2"/>
      <w:sz w:val="18"/>
      <w:szCs w:val="18"/>
    </w:rPr>
  </w:style>
  <w:style w:type="character" w:customStyle="1" w:styleId="17">
    <w:name w:val="批注主题 Char"/>
    <w:link w:val="9"/>
    <w:qFormat/>
    <w:uiPriority w:val="0"/>
    <w:rPr>
      <w:b/>
      <w:bCs/>
      <w:kern w:val="2"/>
      <w:sz w:val="21"/>
      <w:szCs w:val="24"/>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Chars="200"/>
    </w:pPr>
    <w:rPr>
      <w:rFonts w:ascii="Times New Roman" w:hAnsi="Times New Roman" w:eastAsia="宋体" w:cs="Times New Roman"/>
      <w:lang w:val="en-US" w:eastAsia="zh-CN" w:bidi="ar-SA"/>
    </w:rPr>
  </w:style>
  <w:style w:type="paragraph" w:customStyle="1" w:styleId="20">
    <w:name w:val="正文1 Char Char Char"/>
    <w:basedOn w:val="1"/>
    <w:qFormat/>
    <w:uiPriority w:val="0"/>
    <w:pPr>
      <w:spacing w:line="360" w:lineRule="auto"/>
      <w:ind w:firstLine="200" w:firstLineChars="200"/>
    </w:pPr>
  </w:style>
  <w:style w:type="character" w:customStyle="1" w:styleId="21">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6016</Words>
  <Characters>6463</Characters>
  <Lines>67</Lines>
  <Paragraphs>18</Paragraphs>
  <TotalTime>2</TotalTime>
  <ScaleCrop>false</ScaleCrop>
  <LinksUpToDate>false</LinksUpToDate>
  <CharactersWithSpaces>6534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王子恋</cp:lastModifiedBy>
  <cp:lastPrinted>2023-08-03T00:58:00Z</cp:lastPrinted>
  <dcterms:modified xsi:type="dcterms:W3CDTF">2025-09-05T09:04:39Z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61A8F1DB4AB14949889FFEFFCF9D0930_13</vt:lpwstr>
  </property>
  <property fmtid="{D5CDD505-2E9C-101B-9397-08002B2CF9AE}" pid="4" name="KSOTemplateDocerSaveRecord">
    <vt:lpwstr>eyJoZGlkIjoiNmNiNWY1MDkyZjZlNTQzYmZmM2Q3NmRhZGZiYjFjNmMiLCJ1c2VySWQiOiIxNjg5MTI0MTg0In0=</vt:lpwstr>
  </property>
</Properties>
</file>