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spacing w:line="53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根据保财旅</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号</w:t>
      </w:r>
      <w:r>
        <w:rPr>
          <w:rFonts w:hint="eastAsia" w:ascii="仿宋_GB2312" w:hAnsi="仿宋_GB2312" w:eastAsia="仿宋_GB2312" w:cs="仿宋_GB2312"/>
          <w:color w:val="auto"/>
          <w:sz w:val="32"/>
          <w:szCs w:val="32"/>
          <w:lang w:val="en-US" w:eastAsia="zh-CN"/>
        </w:rPr>
        <w:t>（琼财旅</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629</w:t>
      </w:r>
      <w:r>
        <w:rPr>
          <w:rFonts w:hint="eastAsia" w:ascii="仿宋_GB2312" w:hAnsi="仿宋_GB2312" w:eastAsia="仿宋_GB2312" w:cs="仿宋_GB2312"/>
          <w:sz w:val="32"/>
          <w:szCs w:val="32"/>
        </w:rPr>
        <w:t>号</w:t>
      </w:r>
      <w:r>
        <w:rPr>
          <w:rFonts w:hint="eastAsia" w:ascii="仿宋_GB2312" w:hAnsi="仿宋_GB2312" w:eastAsia="仿宋_GB2312" w:cs="仿宋_GB2312"/>
          <w:color w:val="auto"/>
          <w:sz w:val="32"/>
          <w:szCs w:val="32"/>
          <w:lang w:val="en-US" w:eastAsia="zh-CN"/>
        </w:rPr>
        <w:t>）文件，保亭县民族博物馆全面落实免费开放政策，</w:t>
      </w:r>
      <w:r>
        <w:rPr>
          <w:rFonts w:hint="eastAsia" w:ascii="仿宋_GB2312" w:hAnsi="仿宋_GB2312" w:eastAsia="仿宋_GB2312" w:cs="仿宋_GB2312"/>
          <w:sz w:val="32"/>
          <w:szCs w:val="32"/>
        </w:rPr>
        <w:t>充分发挥公共文化服务功能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丰富群众的精神文化生活</w:t>
      </w:r>
      <w:r>
        <w:rPr>
          <w:rFonts w:hint="eastAsia" w:ascii="仿宋_GB2312" w:hAnsi="仿宋_GB2312" w:eastAsia="仿宋_GB2312" w:cs="仿宋_GB2312"/>
          <w:sz w:val="32"/>
          <w:szCs w:val="32"/>
          <w:lang w:val="en-US" w:eastAsia="zh-CN"/>
        </w:rPr>
        <w:t>。</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（二）项目年度预算绩效目标和绩效指标设定情况</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项目预期总目标为通过免费开放县</w:t>
      </w:r>
      <w:bookmarkStart w:id="0" w:name="_GoBack"/>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民族博物馆，从而向人民群众提供了解文物文化历史知识的交流平台，展示我县独特的黎苗传统文化，提升我县文化软实力。相应设置的绩效指标为：</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1.产出指标率:产出完成达到90%以上,绩效标准达到“优”。</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2.效益指标率:成本控制不超预算，绩效标准达到“优”。</w:t>
      </w:r>
    </w:p>
    <w:p>
      <w:pPr>
        <w:spacing w:line="53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3.满意度指标率:服务对象满意度达90%以上，绩效标准达到“优”。</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所有的绩效指标都已达到设定的目标。</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（一）项目决策情况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项目支出由县民族博物馆根据实际工作需要和相应的财务制度申报，后经局党组或局务会议集体决策，支付相应款项。</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（二）项目资金安排落实、总投入等情况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该项目资金均为财政资金，实际到位资金为7.16万元。</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（三）项目资金实际使用情况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截至2022年12月31日，县民族博物馆免费开放项目共支出7.16万元，经费支付率达到100%。</w:t>
      </w:r>
    </w:p>
    <w:p>
      <w:pPr>
        <w:spacing w:line="53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（四）项目资金管理情况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县旅游和文化广电体育局是县民族博物馆免费开放配套资金的项目管理、资金管理部门，负责项目的审核、实施及政策兑现。县民族博物馆自身负责项目的申请、手续的办理、项目的实施。</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项目组织情况。免费开放项目主要服务于群众的文化活动开展和文化阵地的建设等。活动和建设开支由县民族博物馆提出申请，提交局务办公会或党组办公会研究讨论，会议通过后方可施行。支出时，县民族博物馆严格按照项目完成情况和财务管理制度专款专用。</w:t>
      </w:r>
    </w:p>
    <w:p>
      <w:pPr>
        <w:spacing w:line="530" w:lineRule="exact"/>
        <w:ind w:firstLine="640" w:firstLineChars="200"/>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（二）项目管理情况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经费严格按预算支出、严格按财务制度办理、严格把控资金管理使用。此次绩效评价未发现有挤占或挪用项目资金的情况。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1.项目的积极性分析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（1）项目成本（预算）控制情况。本项目总金额7.16万，项目资金来源于2022年博物馆纪念馆免费开放补助资金，无超支情况发生。</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成本（预算）节约情况。项目经费支付县民族博物馆免费开放日常运营，严格项目开支管理，严格控制经费使用，无重复开支和乱开支现象，项目预算7.16万元，实际项目开支7.16万元，符合项目预算规定。</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2.项目效率性分析</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（1）项目实施进度。该项目按照保障县民族博物馆的内容进行实施，开支途径顺畅，无超支延期情况。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（2）项目完成质量。截止2022年12月31日，免费开放项目所涉及到的工作内容均按期完成，经费支付率到达100%。</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3.项目有效性分析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（1）项目预期目标完成程度。免费开放项目资金县民族博物馆按照所涉及到的内容进行申请，经上级部门同意后进行支出，现以达到项目预期目的。</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实施对社会的影响。县民族博物馆通过免费开放项目提供更多更好的公共文化服务，拓展观众群体，提升全民文化素养。一方面向社会提供高质量的陈列展览，一方面提升本馆公共文化服务水平，发挥博物馆的社会功能。</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4.项目可持续性分析</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免费开放项目的实施提高广大人民群众走进博物馆接受文化熏陶的热情，有助于提高本馆公共文化服务水平，从而促进博物馆自身发展。由于政府对免费开放实施经费补助，博物馆工作人员才可以安心在服务和业务等方面有所作为，学习相关博物馆运营经验，策划高品质活动，提升观众的参观体验。</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截止2022年12月31日，免费开放项目执行数为7.16万元，执行率达100%。项目绩效用来保障县民族博物馆的正常运转，其项目均已完成。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1.保障县民族博物馆的正常运营。</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2.举办2023年“5・18”国际博物馆日宣传活动。</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3.举办博物馆馆际交流。</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1.主要经验及做法：我馆在专项资金使用、管理方面上能够严格按照财政支出绩效管理要求，严格把控资金管理使用，提高绩效管理意识。</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在提升我馆的陈列展示、宣传教育和服务水平的基础上，切实把免费开放工作做实、做细、做好。</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2.存在问题：</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支付经费前应科学安排项目预算，实现效应最大化。</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3.专项资金使用建议：</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加快资金使用率，明确支付项目，以提高资金使用效益。</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B0300000000000000"/>
    <w:charset w:val="86"/>
    <w:family w:val="auto"/>
    <w:pitch w:val="default"/>
    <w:sig w:usb0="00000001" w:usb1="080F1810" w:usb2="00000016" w:usb3="00000000" w:csb0="00060007"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9A0B7"/>
    <w:multiLevelType w:val="singleLevel"/>
    <w:tmpl w:val="D039A0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51186"/>
    <w:rsid w:val="08C94298"/>
    <w:rsid w:val="1B912267"/>
    <w:rsid w:val="26416D0E"/>
    <w:rsid w:val="2C95222A"/>
    <w:rsid w:val="36551186"/>
    <w:rsid w:val="38871E3E"/>
    <w:rsid w:val="39EA16F1"/>
    <w:rsid w:val="45C55B55"/>
    <w:rsid w:val="525D2600"/>
    <w:rsid w:val="54B63DC1"/>
    <w:rsid w:val="5AF30C13"/>
    <w:rsid w:val="5FF46487"/>
    <w:rsid w:val="610B4B38"/>
    <w:rsid w:val="68E134FD"/>
    <w:rsid w:val="7A515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LENOVO</cp:lastModifiedBy>
  <cp:lastPrinted>2023-04-09T03:18:00Z</cp:lastPrinted>
  <dcterms:modified xsi:type="dcterms:W3CDTF">2023-04-10T06:22:10Z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C55B7BD0F4E840D1AA3E67667BEA54CE</vt:lpwstr>
  </property>
</Properties>
</file>