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旅游文化设施设备维修维护费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对文化中心内的设施设备进行维修维护，如：影剧院舞台灯光维修更换、文化中心喷泉维修、影剧院舞台装饰板维修等。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项目缺口金额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18万元，为从县财政申请的缺口资金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年12月31日，旅游设施维修项目资金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旅游文化设施设备维修维护费实行专款专用。经费严格按按财务制度办理。此次绩效评价未发现有挤占或挪用项目资金的情况。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支付</w:t>
      </w:r>
      <w:r>
        <w:rPr>
          <w:rFonts w:hint="eastAsia" w:ascii="仿宋" w:hAnsi="仿宋" w:eastAsia="仿宋" w:cs="仿宋"/>
          <w:sz w:val="32"/>
          <w:szCs w:val="32"/>
        </w:rPr>
        <w:t>旅游文化设施设备维修维护费。项目资金是根据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业务工作与旅游经济发展需求。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影剧院舞台灯光维修更换、文化中心喷泉维修、影剧院舞台装饰板维修等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该项目按照有计划、有步骤稳妥实施，已全部完成建设任务，达到预期目的。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  <w:bookmarkStart w:id="0" w:name="_GoBack"/>
      <w:bookmarkEnd w:id="0"/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1、产出指标：完成旅游文化设施设备维修维护费支出，绩效标准达到“优”。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2、效益指标：完成2022文化中心旅游文化设施设备维修维护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项目工程的建设，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为做好旅游基础设施维修维护工作，保障文化中心正常运转以及维护我县旅游卫生形象。</w:t>
      </w: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6F06F3A"/>
    <w:rsid w:val="17CD4781"/>
    <w:rsid w:val="2280576F"/>
    <w:rsid w:val="2EAC6DE1"/>
    <w:rsid w:val="352D60B2"/>
    <w:rsid w:val="359E0806"/>
    <w:rsid w:val="4377559B"/>
    <w:rsid w:val="48F879A3"/>
    <w:rsid w:val="51875C17"/>
    <w:rsid w:val="51D741B7"/>
    <w:rsid w:val="52F224EA"/>
    <w:rsid w:val="604A6DB3"/>
    <w:rsid w:val="611669A6"/>
    <w:rsid w:val="61555B72"/>
    <w:rsid w:val="649960E8"/>
    <w:rsid w:val="6CC44C8B"/>
    <w:rsid w:val="7BE8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915</Words>
  <Characters>947</Characters>
  <Lines>0</Lines>
  <Paragraphs>0</Paragraphs>
  <TotalTime>0</TotalTime>
  <ScaleCrop>false</ScaleCrop>
  <LinksUpToDate>false</LinksUpToDate>
  <CharactersWithSpaces>952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2023-04-08T10:58:52Z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D3E2D44F6887486D9AB167A307002493_12</vt:lpwstr>
  </property>
</Properties>
</file>