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78" w:lineRule="exact"/>
        <w:textAlignment w:val="auto"/>
        <w:rPr>
          <w:rFonts w:hint="eastAsia" w:ascii="黑体" w:hAnsi="黑体" w:eastAsia="黑体" w:cs="黑体"/>
          <w:b w:val="0"/>
          <w:bCs/>
          <w:sz w:val="32"/>
          <w:szCs w:val="32"/>
          <w:lang w:eastAsia="zh-CN"/>
        </w:rPr>
      </w:pPr>
      <w:r>
        <w:rPr>
          <w:rFonts w:hint="eastAsia" w:ascii="黑体" w:hAnsi="黑体" w:eastAsia="黑体" w:cs="黑体"/>
          <w:b w:val="0"/>
          <w:bCs/>
          <w:sz w:val="32"/>
          <w:szCs w:val="32"/>
        </w:rPr>
        <w:t>附件</w:t>
      </w:r>
      <w:r>
        <w:rPr>
          <w:rFonts w:hint="eastAsia" w:ascii="黑体" w:hAnsi="黑体" w:eastAsia="黑体" w:cs="黑体"/>
          <w:b w:val="0"/>
          <w:bCs/>
          <w:sz w:val="32"/>
          <w:szCs w:val="32"/>
          <w:lang w:val="en-US" w:eastAsia="zh-CN"/>
        </w:rPr>
        <w:t>4</w:t>
      </w:r>
    </w:p>
    <w:p>
      <w:pPr>
        <w:keepNext w:val="0"/>
        <w:keepLines w:val="0"/>
        <w:pageBreakBefore w:val="0"/>
        <w:widowControl w:val="0"/>
        <w:kinsoku/>
        <w:wordWrap/>
        <w:overflowPunct/>
        <w:topLinePunct w:val="0"/>
        <w:autoSpaceDE/>
        <w:autoSpaceDN/>
        <w:bidi w:val="0"/>
        <w:adjustRightInd/>
        <w:snapToGrid w:val="0"/>
        <w:spacing w:line="578" w:lineRule="exact"/>
        <w:jc w:val="center"/>
        <w:textAlignment w:val="auto"/>
        <w:rPr>
          <w:rFonts w:ascii="仿宋_GB2312" w:hAnsi="华文中宋"/>
          <w:b w:val="0"/>
          <w:bCs/>
          <w:sz w:val="36"/>
          <w:szCs w:val="44"/>
        </w:rPr>
      </w:pPr>
    </w:p>
    <w:p>
      <w:pPr>
        <w:keepNext w:val="0"/>
        <w:keepLines w:val="0"/>
        <w:pageBreakBefore w:val="0"/>
        <w:widowControl w:val="0"/>
        <w:kinsoku/>
        <w:wordWrap/>
        <w:overflowPunct/>
        <w:topLinePunct w:val="0"/>
        <w:autoSpaceDE/>
        <w:autoSpaceDN/>
        <w:bidi w:val="0"/>
        <w:adjustRightInd/>
        <w:snapToGrid w:val="0"/>
        <w:spacing w:line="578" w:lineRule="exact"/>
        <w:jc w:val="center"/>
        <w:textAlignment w:val="auto"/>
        <w:rPr>
          <w:rFonts w:ascii="宋体" w:hAnsi="宋体" w:eastAsia="宋体" w:cs="宋体"/>
          <w:b/>
          <w:bCs w:val="0"/>
          <w:sz w:val="44"/>
          <w:szCs w:val="44"/>
        </w:rPr>
      </w:pPr>
      <w:r>
        <w:rPr>
          <w:rFonts w:hint="eastAsia" w:ascii="宋体" w:hAnsi="宋体" w:eastAsia="宋体" w:cs="宋体"/>
          <w:b/>
          <w:bCs w:val="0"/>
          <w:sz w:val="44"/>
          <w:szCs w:val="44"/>
        </w:rPr>
        <w:t>20</w:t>
      </w:r>
      <w:r>
        <w:rPr>
          <w:rFonts w:hint="eastAsia" w:ascii="宋体" w:hAnsi="宋体" w:eastAsia="宋体" w:cs="宋体"/>
          <w:b/>
          <w:bCs w:val="0"/>
          <w:sz w:val="44"/>
          <w:szCs w:val="44"/>
          <w:lang w:val="en-US" w:eastAsia="zh-CN"/>
        </w:rPr>
        <w:t>22</w:t>
      </w:r>
      <w:r>
        <w:rPr>
          <w:rFonts w:hint="eastAsia" w:ascii="宋体" w:hAnsi="宋体" w:eastAsia="宋体" w:cs="宋体"/>
          <w:b/>
          <w:bCs w:val="0"/>
          <w:sz w:val="44"/>
          <w:szCs w:val="44"/>
        </w:rPr>
        <w:t>年度绩效自评报告</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rPr>
          <w:rFonts w:hint="eastAsia" w:ascii="黑体" w:hAnsi="黑体" w:eastAsia="黑体" w:cs="黑体"/>
          <w:b w:val="0"/>
          <w:bCs/>
          <w:sz w:val="32"/>
          <w:szCs w:val="32"/>
        </w:rPr>
      </w:pP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rPr>
          <w:rFonts w:ascii="黑体" w:hAnsi="黑体" w:eastAsia="黑体" w:cs="黑体"/>
          <w:b w:val="0"/>
          <w:bCs/>
          <w:sz w:val="32"/>
          <w:szCs w:val="32"/>
        </w:rPr>
      </w:pPr>
      <w:r>
        <w:rPr>
          <w:rFonts w:hint="eastAsia" w:ascii="黑体" w:hAnsi="黑体" w:eastAsia="黑体" w:cs="黑体"/>
          <w:b w:val="0"/>
          <w:bCs/>
          <w:sz w:val="32"/>
          <w:szCs w:val="32"/>
        </w:rPr>
        <w:t>一、绩效目标分解下达情况</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根据省委组织部、省文体厅、省财政厅等5部门制定的《海南省贯彻落实&lt;边远贫困地区、边疆民族地区和革命老区人才支持文化工作者专项实施方案&gt;工作作方案》(琼文函〔201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〕155号)及省旅文厅《关于做好2022年度文化人才服务支持艰苦边远地区和基层一线专项实施工作的通知》工作部署，202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年，我局充分利用好海南省202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年文化人才专项经费，采取“走出去”和“请进来”等方式，通过选派及培养，不断充实和提升我县文化人才队伍素质</w:t>
      </w:r>
      <w:r>
        <w:rPr>
          <w:rFonts w:hint="eastAsia" w:ascii="仿宋_GB2312" w:hAnsi="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黑体" w:eastAsia="黑体" w:cs="黑体"/>
          <w:b w:val="0"/>
          <w:bCs/>
          <w:sz w:val="32"/>
          <w:szCs w:val="32"/>
          <w:highlight w:val="none"/>
        </w:rPr>
      </w:pPr>
      <w:r>
        <w:rPr>
          <w:rFonts w:hint="eastAsia" w:ascii="黑体" w:hAnsi="黑体" w:eastAsia="黑体" w:cs="黑体"/>
          <w:b w:val="0"/>
          <w:bCs/>
          <w:sz w:val="32"/>
          <w:szCs w:val="32"/>
          <w:highlight w:val="none"/>
        </w:rPr>
        <w:t>二、</w:t>
      </w:r>
      <w:r>
        <w:rPr>
          <w:rFonts w:hint="eastAsia" w:ascii="黑体" w:hAnsi="黑体" w:eastAsia="黑体" w:cs="黑体"/>
          <w:b w:val="0"/>
          <w:bCs/>
          <w:sz w:val="32"/>
          <w:szCs w:val="32"/>
          <w:highlight w:val="none"/>
          <w:lang w:eastAsia="zh-CN"/>
        </w:rPr>
        <w:t>绩效</w:t>
      </w:r>
      <w:r>
        <w:rPr>
          <w:rFonts w:hint="eastAsia" w:ascii="黑体" w:hAnsi="黑体" w:eastAsia="黑体" w:cs="黑体"/>
          <w:b w:val="0"/>
          <w:bCs/>
          <w:sz w:val="32"/>
          <w:szCs w:val="32"/>
          <w:highlight w:val="none"/>
        </w:rPr>
        <w:t>情况分析</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eastAsia" w:ascii="仿宋_GB2312" w:hAnsi="仿宋_GB2312" w:eastAsia="仿宋_GB2312" w:cs="仿宋_GB2312"/>
          <w:b w:val="0"/>
          <w:bCs/>
          <w:sz w:val="32"/>
          <w:szCs w:val="32"/>
          <w:highlight w:val="none"/>
          <w:lang w:eastAsia="zh-CN"/>
        </w:rPr>
      </w:pPr>
      <w:r>
        <w:rPr>
          <w:rFonts w:hint="eastAsia" w:ascii="楷体_GB2312" w:hAnsi="楷体_GB2312" w:eastAsia="楷体_GB2312" w:cs="楷体_GB2312"/>
          <w:b w:val="0"/>
          <w:bCs/>
          <w:sz w:val="32"/>
          <w:szCs w:val="32"/>
          <w:highlight w:val="none"/>
        </w:rPr>
        <w:t>（一）资金投入情况分析。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楷体_GB2312" w:hAnsi="楷体_GB2312" w:eastAsia="楷体_GB2312" w:cs="楷体_GB2312"/>
          <w:b w:val="0"/>
          <w:bCs/>
          <w:sz w:val="32"/>
          <w:szCs w:val="32"/>
          <w:highlight w:val="none"/>
          <w:lang w:eastAsia="zh-CN"/>
        </w:rPr>
      </w:pPr>
      <w:r>
        <w:rPr>
          <w:rFonts w:hint="eastAsia" w:ascii="仿宋_GB2312" w:hAnsi="仿宋_GB2312" w:cs="仿宋_GB2312"/>
          <w:color w:val="auto"/>
          <w:sz w:val="32"/>
          <w:szCs w:val="32"/>
          <w:lang w:eastAsia="zh-CN"/>
        </w:rPr>
        <w:t>文化人才经费</w:t>
      </w:r>
      <w:r>
        <w:rPr>
          <w:rFonts w:hint="eastAsia" w:ascii="仿宋_GB2312" w:hAnsi="仿宋_GB2312" w:eastAsia="仿宋_GB2312" w:cs="仿宋_GB2312"/>
          <w:color w:val="auto"/>
          <w:sz w:val="32"/>
          <w:szCs w:val="32"/>
          <w:lang w:val="en-US" w:eastAsia="zh-CN"/>
        </w:rPr>
        <w:t>，年初经费预算为</w:t>
      </w:r>
      <w:r>
        <w:rPr>
          <w:rFonts w:hint="eastAsia" w:ascii="仿宋_GB2312" w:hAnsi="仿宋_GB2312" w:cs="仿宋_GB2312"/>
          <w:color w:val="auto"/>
          <w:sz w:val="32"/>
          <w:szCs w:val="32"/>
          <w:lang w:val="en-US" w:eastAsia="zh-CN"/>
        </w:rPr>
        <w:t>11</w:t>
      </w:r>
      <w:r>
        <w:rPr>
          <w:rFonts w:hint="eastAsia" w:ascii="仿宋_GB2312" w:hAnsi="仿宋_GB2312" w:eastAsia="仿宋_GB2312" w:cs="仿宋_GB2312"/>
          <w:color w:val="auto"/>
          <w:sz w:val="32"/>
          <w:szCs w:val="32"/>
          <w:lang w:val="en-US" w:eastAsia="zh-CN"/>
        </w:rPr>
        <w:t>万元，全年预算数为</w:t>
      </w:r>
      <w:r>
        <w:rPr>
          <w:rFonts w:hint="eastAsia" w:ascii="仿宋_GB2312" w:hAnsi="仿宋_GB2312" w:cs="仿宋_GB2312"/>
          <w:kern w:val="0"/>
          <w:sz w:val="32"/>
          <w:szCs w:val="32"/>
          <w:lang w:val="en-US" w:eastAsia="zh-CN"/>
        </w:rPr>
        <w:t>11万</w:t>
      </w:r>
      <w:r>
        <w:rPr>
          <w:rFonts w:hint="eastAsia" w:ascii="仿宋_GB2312" w:hAnsi="仿宋_GB2312" w:eastAsia="仿宋_GB2312" w:cs="仿宋_GB2312"/>
          <w:kern w:val="0"/>
          <w:sz w:val="32"/>
          <w:szCs w:val="32"/>
          <w:lang w:val="en-US" w:eastAsia="zh-CN"/>
        </w:rPr>
        <w:t>元，</w:t>
      </w:r>
      <w:r>
        <w:rPr>
          <w:rFonts w:hint="eastAsia" w:ascii="仿宋_GB2312" w:hAnsi="仿宋_GB2312" w:eastAsia="仿宋_GB2312" w:cs="仿宋_GB2312"/>
          <w:color w:val="auto"/>
          <w:sz w:val="32"/>
          <w:szCs w:val="32"/>
          <w:lang w:val="en-US" w:eastAsia="zh-CN"/>
        </w:rPr>
        <w:t>资金预算全部到位。</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eastAsia" w:ascii="仿宋_GB2312" w:hAnsi="仿宋_GB2312" w:eastAsia="仿宋_GB2312" w:cs="仿宋_GB2312"/>
          <w:b w:val="0"/>
          <w:bCs/>
          <w:sz w:val="32"/>
          <w:szCs w:val="32"/>
          <w:highlight w:val="none"/>
          <w:lang w:eastAsia="zh-CN"/>
        </w:rPr>
      </w:pPr>
      <w:r>
        <w:rPr>
          <w:rFonts w:hint="eastAsia" w:ascii="楷体_GB2312" w:hAnsi="楷体_GB2312" w:eastAsia="楷体_GB2312" w:cs="楷体_GB2312"/>
          <w:b w:val="0"/>
          <w:bCs/>
          <w:sz w:val="32"/>
          <w:szCs w:val="32"/>
          <w:highlight w:val="none"/>
          <w:lang w:eastAsia="zh-CN"/>
        </w:rPr>
        <w:t>（二）资金管理情况分析。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我局的业务工作规划和财务管理制度，一是召开会议，确定项目内容，包括活动内容、形式、时间、地点、人数、所需经费及列支渠道等内容，加强经费支出合法性、真实性及合理性的审核，减少资金的浪费，提高使用效益；二是在项目执行过程中，厉行节约，能省就省，可花可不花的钱不花，做到“取之有度，用之有节”。</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eastAsia" w:ascii="仿宋" w:hAnsi="仿宋" w:eastAsia="仿宋" w:cs="仿宋"/>
          <w:b w:val="0"/>
          <w:bCs/>
          <w:sz w:val="32"/>
          <w:szCs w:val="32"/>
          <w:lang w:eastAsia="zh-CN"/>
        </w:rPr>
      </w:pPr>
      <w:r>
        <w:rPr>
          <w:rFonts w:hint="eastAsia" w:ascii="楷体_GB2312" w:hAnsi="楷体_GB2312" w:eastAsia="楷体_GB2312" w:cs="楷体_GB2312"/>
          <w:b w:val="0"/>
          <w:bCs/>
          <w:sz w:val="32"/>
          <w:szCs w:val="32"/>
        </w:rPr>
        <w:t>（</w:t>
      </w:r>
      <w:r>
        <w:rPr>
          <w:rFonts w:hint="eastAsia" w:ascii="楷体_GB2312" w:hAnsi="楷体_GB2312" w:eastAsia="楷体_GB2312" w:cs="楷体_GB2312"/>
          <w:b w:val="0"/>
          <w:bCs/>
          <w:sz w:val="32"/>
          <w:szCs w:val="32"/>
          <w:lang w:eastAsia="zh-CN"/>
        </w:rPr>
        <w:t>三</w:t>
      </w:r>
      <w:r>
        <w:rPr>
          <w:rFonts w:hint="eastAsia" w:ascii="楷体_GB2312" w:hAnsi="楷体_GB2312" w:eastAsia="楷体_GB2312" w:cs="楷体_GB2312"/>
          <w:b w:val="0"/>
          <w:bCs/>
          <w:sz w:val="32"/>
          <w:szCs w:val="32"/>
        </w:rPr>
        <w:t>）总体绩效目标完成情况分析。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楷体_GB2312" w:hAnsi="楷体_GB2312" w:eastAsia="楷体_GB2312" w:cs="楷体_GB2312"/>
          <w:b w:val="0"/>
          <w:bCs/>
          <w:sz w:val="32"/>
          <w:szCs w:val="32"/>
        </w:rPr>
      </w:pPr>
      <w:r>
        <w:rPr>
          <w:rFonts w:hint="eastAsia" w:ascii="仿宋_GB2312" w:hAnsi="仿宋_GB2312" w:eastAsia="仿宋_GB2312" w:cs="仿宋_GB2312"/>
          <w:sz w:val="32"/>
          <w:szCs w:val="32"/>
          <w:lang w:val="en-US" w:eastAsia="zh-CN"/>
        </w:rPr>
        <w:t>2022年文化人才经费实行专款专用。经费严格按预算开支，严格按财务制度办理，此次绩效评价未发现有挤占或挪用项目资金的情况。</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left"/>
        <w:textAlignment w:val="auto"/>
        <w:outlineLvl w:val="9"/>
        <w:rPr>
          <w:rFonts w:hint="eastAsia" w:ascii="仿宋_GB2312" w:hAnsi="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文化人才经费</w:t>
      </w:r>
      <w:r>
        <w:rPr>
          <w:rFonts w:hint="eastAsia" w:ascii="仿宋_GB2312" w:hAnsi="仿宋_GB2312" w:eastAsia="仿宋_GB2312" w:cs="仿宋_GB2312"/>
          <w:color w:val="auto"/>
          <w:sz w:val="32"/>
          <w:szCs w:val="32"/>
          <w:lang w:eastAsia="zh-CN"/>
        </w:rPr>
        <w:t>，年初经费预算为</w:t>
      </w:r>
      <w:r>
        <w:rPr>
          <w:rFonts w:hint="eastAsia" w:ascii="仿宋_GB2312" w:hAnsi="仿宋_GB2312" w:cs="仿宋_GB2312"/>
          <w:color w:val="auto"/>
          <w:sz w:val="32"/>
          <w:szCs w:val="32"/>
          <w:lang w:val="en-US" w:eastAsia="zh-CN"/>
        </w:rPr>
        <w:t>11</w:t>
      </w:r>
      <w:r>
        <w:rPr>
          <w:rFonts w:hint="eastAsia" w:ascii="仿宋_GB2312" w:hAnsi="仿宋_GB2312" w:eastAsia="仿宋_GB2312" w:cs="仿宋_GB2312"/>
          <w:color w:val="auto"/>
          <w:sz w:val="32"/>
          <w:szCs w:val="32"/>
          <w:lang w:eastAsia="zh-CN"/>
        </w:rPr>
        <w:t>万元，全年预算数为</w:t>
      </w:r>
      <w:r>
        <w:rPr>
          <w:rFonts w:hint="eastAsia" w:ascii="仿宋_GB2312" w:hAnsi="仿宋_GB2312" w:cs="仿宋_GB2312"/>
          <w:color w:val="auto"/>
          <w:sz w:val="32"/>
          <w:szCs w:val="32"/>
          <w:lang w:val="en-US" w:eastAsia="zh-CN"/>
        </w:rPr>
        <w:t>11</w:t>
      </w:r>
      <w:r>
        <w:rPr>
          <w:rFonts w:hint="eastAsia" w:ascii="仿宋_GB2312" w:hAnsi="仿宋_GB2312" w:cs="仿宋_GB2312"/>
          <w:color w:val="auto"/>
          <w:sz w:val="32"/>
          <w:szCs w:val="32"/>
          <w:lang w:eastAsia="zh-CN"/>
        </w:rPr>
        <w:t>万</w:t>
      </w:r>
      <w:r>
        <w:rPr>
          <w:rFonts w:hint="eastAsia" w:ascii="仿宋_GB2312" w:hAnsi="仿宋_GB2312" w:eastAsia="仿宋_GB2312" w:cs="仿宋_GB2312"/>
          <w:color w:val="auto"/>
          <w:sz w:val="32"/>
          <w:szCs w:val="32"/>
          <w:lang w:eastAsia="zh-CN"/>
        </w:rPr>
        <w:t>元</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color w:val="auto"/>
          <w:sz w:val="32"/>
          <w:szCs w:val="32"/>
          <w:lang w:val="en-US" w:eastAsia="zh-CN"/>
        </w:rPr>
        <w:t>已开支</w:t>
      </w:r>
      <w:r>
        <w:rPr>
          <w:rFonts w:hint="eastAsia" w:ascii="仿宋_GB2312" w:hAnsi="仿宋_GB2312" w:cs="仿宋_GB2312"/>
          <w:color w:val="auto"/>
          <w:sz w:val="32"/>
          <w:szCs w:val="32"/>
          <w:lang w:val="en-US" w:eastAsia="zh-CN"/>
        </w:rPr>
        <w:t>11万</w:t>
      </w:r>
      <w:r>
        <w:rPr>
          <w:rFonts w:hint="eastAsia" w:ascii="仿宋_GB2312" w:hAnsi="仿宋_GB2312" w:eastAsia="仿宋_GB2312" w:cs="仿宋_GB2312"/>
          <w:color w:val="auto"/>
          <w:sz w:val="32"/>
          <w:szCs w:val="32"/>
          <w:lang w:val="en-US" w:eastAsia="zh-CN"/>
        </w:rPr>
        <w:t>元</w:t>
      </w:r>
      <w:r>
        <w:rPr>
          <w:rFonts w:hint="eastAsia" w:ascii="仿宋_GB2312" w:hAnsi="仿宋_GB2312" w:cs="仿宋_GB2312"/>
          <w:color w:val="auto"/>
          <w:sz w:val="32"/>
          <w:szCs w:val="32"/>
          <w:lang w:val="en-US" w:eastAsia="zh-CN"/>
        </w:rPr>
        <w:t>。其中县旅文局5万元，槟榔谷黎苗文化旅游发展有限公司6万元。</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rPr>
          <w:rFonts w:ascii="仿宋_GB2312"/>
          <w:b w:val="0"/>
          <w:bCs/>
          <w:sz w:val="32"/>
          <w:szCs w:val="32"/>
        </w:rPr>
      </w:pPr>
      <w:r>
        <w:rPr>
          <w:rFonts w:hint="eastAsia" w:ascii="黑体" w:hAnsi="黑体" w:eastAsia="黑体" w:cs="黑体"/>
          <w:b w:val="0"/>
          <w:bCs/>
          <w:sz w:val="32"/>
          <w:szCs w:val="32"/>
        </w:rPr>
        <w:t>三、偏离绩效目标的原因和下一步改进措施</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无</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rPr>
          <w:rFonts w:ascii="黑体" w:hAnsi="黑体" w:eastAsia="黑体" w:cs="黑体"/>
          <w:b w:val="0"/>
          <w:bCs/>
          <w:sz w:val="32"/>
          <w:szCs w:val="32"/>
        </w:rPr>
      </w:pPr>
      <w:r>
        <w:rPr>
          <w:rFonts w:hint="eastAsia" w:ascii="黑体" w:hAnsi="黑体" w:eastAsia="黑体" w:cs="黑体"/>
          <w:b w:val="0"/>
          <w:bCs/>
          <w:sz w:val="32"/>
          <w:szCs w:val="32"/>
        </w:rPr>
        <w:t>四、绩效自评结果拟应用和公开情况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jc w:val="left"/>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绩效自评结果</w:t>
      </w:r>
      <w:r>
        <w:rPr>
          <w:rFonts w:hint="eastAsia" w:ascii="仿宋_GB2312" w:hAnsi="仿宋_GB2312" w:cs="仿宋_GB2312"/>
          <w:color w:val="auto"/>
          <w:sz w:val="32"/>
          <w:szCs w:val="32"/>
          <w:lang w:eastAsia="zh-CN"/>
        </w:rPr>
        <w:t>根据相关规定</w:t>
      </w:r>
      <w:r>
        <w:rPr>
          <w:rFonts w:hint="eastAsia" w:ascii="仿宋_GB2312" w:hAnsi="仿宋_GB2312" w:eastAsia="仿宋_GB2312" w:cs="仿宋_GB2312"/>
          <w:color w:val="auto"/>
          <w:sz w:val="32"/>
          <w:szCs w:val="32"/>
          <w:lang w:eastAsia="zh-CN"/>
        </w:rPr>
        <w:t>进行公开。</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rPr>
          <w:rFonts w:ascii="黑体" w:hAnsi="黑体" w:eastAsia="黑体" w:cs="黑体"/>
          <w:b w:val="0"/>
          <w:bCs/>
          <w:sz w:val="32"/>
          <w:szCs w:val="32"/>
        </w:rPr>
      </w:pPr>
      <w:r>
        <w:rPr>
          <w:rFonts w:hint="eastAsia" w:ascii="黑体" w:hAnsi="黑体" w:eastAsia="黑体" w:cs="黑体"/>
          <w:b w:val="0"/>
          <w:bCs/>
          <w:sz w:val="32"/>
          <w:szCs w:val="32"/>
        </w:rPr>
        <w:t>五、其他需要说明的问题</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rPr>
          <w:rFonts w:hint="eastAsia" w:eastAsia="仿宋_GB2312"/>
          <w:b w:val="0"/>
          <w:bCs/>
          <w:sz w:val="32"/>
          <w:szCs w:val="32"/>
          <w:lang w:eastAsia="zh-CN"/>
        </w:rPr>
      </w:pPr>
      <w:r>
        <w:rPr>
          <w:rFonts w:hint="eastAsia" w:ascii="仿宋" w:hAnsi="仿宋" w:eastAsia="仿宋" w:cs="仿宋"/>
          <w:b w:val="0"/>
          <w:bCs/>
          <w:sz w:val="32"/>
          <w:szCs w:val="32"/>
          <w:lang w:eastAsia="zh-CN"/>
        </w:rPr>
        <w:t>无</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rPr>
          <w:rFonts w:hint="eastAsia" w:ascii="黑体" w:hAnsi="黑体" w:eastAsia="黑体" w:cs="黑体"/>
          <w:b w:val="0"/>
          <w:bCs/>
          <w:sz w:val="32"/>
          <w:szCs w:val="32"/>
          <w:lang w:val="en"/>
        </w:rPr>
      </w:pPr>
      <w:r>
        <w:rPr>
          <w:rFonts w:hint="eastAsia" w:ascii="黑体" w:hAnsi="黑体" w:eastAsia="黑体" w:cs="黑体"/>
          <w:b w:val="0"/>
          <w:bCs/>
          <w:sz w:val="32"/>
          <w:szCs w:val="32"/>
          <w:lang w:val="en"/>
        </w:rPr>
        <w:t>六、附</w:t>
      </w:r>
      <w:bookmarkStart w:id="0" w:name="_GoBack"/>
      <w:bookmarkEnd w:id="0"/>
      <w:r>
        <w:rPr>
          <w:rFonts w:hint="eastAsia" w:ascii="黑体" w:hAnsi="黑体" w:eastAsia="黑体" w:cs="黑体"/>
          <w:b w:val="0"/>
          <w:bCs/>
          <w:sz w:val="32"/>
          <w:szCs w:val="32"/>
          <w:lang w:val="en"/>
        </w:rPr>
        <w:t>件</w:t>
      </w:r>
    </w:p>
    <w:p>
      <w:pPr>
        <w:keepNext w:val="0"/>
        <w:keepLines w:val="0"/>
        <w:pageBreakBefore w:val="0"/>
        <w:widowControl w:val="0"/>
        <w:kinsoku/>
        <w:wordWrap/>
        <w:overflowPunct/>
        <w:topLinePunct w:val="0"/>
        <w:autoSpaceDE/>
        <w:autoSpaceDN/>
        <w:bidi w:val="0"/>
        <w:adjustRightInd/>
        <w:snapToGrid w:val="0"/>
        <w:spacing w:line="578" w:lineRule="exact"/>
        <w:ind w:firstLine="640" w:firstLineChars="200"/>
        <w:textAlignment w:val="auto"/>
        <w:rPr>
          <w:rFonts w:hint="eastAsia" w:ascii="仿宋" w:hAnsi="仿宋" w:eastAsia="仿宋" w:cs="仿宋"/>
          <w:b w:val="0"/>
          <w:bCs/>
          <w:sz w:val="32"/>
          <w:szCs w:val="32"/>
          <w:lang w:val="en"/>
        </w:rPr>
      </w:pPr>
      <w:r>
        <w:rPr>
          <w:rFonts w:hint="eastAsia" w:ascii="仿宋" w:hAnsi="仿宋" w:eastAsia="仿宋" w:cs="仿宋"/>
          <w:b w:val="0"/>
          <w:bCs/>
          <w:sz w:val="32"/>
          <w:szCs w:val="32"/>
        </w:rPr>
        <w:t>转移支付区域（项目）绩效目标自评表</w:t>
      </w:r>
    </w:p>
    <w:sectPr>
      <w:footerReference r:id="rId3" w:type="default"/>
      <w:pgSz w:w="11906" w:h="16838"/>
      <w:pgMar w:top="2098" w:right="1474" w:bottom="1984" w:left="1587" w:header="851" w:footer="1587" w:gutter="0"/>
      <w:pgNumType w:fmt="decimal"/>
      <w:cols w:space="0" w:num="1"/>
      <w:rtlGutter w:val="0"/>
      <w:docGrid w:type="lines" w:linePitch="41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BB8E99"/>
    <w:multiLevelType w:val="singleLevel"/>
    <w:tmpl w:val="E5BB8E99"/>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dit="readOnly" w:enforcement="0"/>
  <w:defaultTabStop w:val="420"/>
  <w:drawingGridHorizontalSpacing w:val="150"/>
  <w:drawingGridVerticalSpacing w:val="20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37D0BC8"/>
    <w:rsid w:val="06B43030"/>
    <w:rsid w:val="0845082D"/>
    <w:rsid w:val="09E965F2"/>
    <w:rsid w:val="0FF7AA4F"/>
    <w:rsid w:val="10951C99"/>
    <w:rsid w:val="139840D3"/>
    <w:rsid w:val="143E091F"/>
    <w:rsid w:val="14865FC8"/>
    <w:rsid w:val="150C2DB0"/>
    <w:rsid w:val="18FC8453"/>
    <w:rsid w:val="1A7D29EA"/>
    <w:rsid w:val="1D994BCF"/>
    <w:rsid w:val="1E5FB546"/>
    <w:rsid w:val="1E761F05"/>
    <w:rsid w:val="1F7BE1E6"/>
    <w:rsid w:val="1FC7205C"/>
    <w:rsid w:val="228B3D05"/>
    <w:rsid w:val="284E74F8"/>
    <w:rsid w:val="289F591A"/>
    <w:rsid w:val="28D00D81"/>
    <w:rsid w:val="2ADB48E8"/>
    <w:rsid w:val="36687282"/>
    <w:rsid w:val="367793B2"/>
    <w:rsid w:val="3794FC37"/>
    <w:rsid w:val="38EF7AD8"/>
    <w:rsid w:val="3E1672E6"/>
    <w:rsid w:val="3EB9C2BB"/>
    <w:rsid w:val="3F0C38C1"/>
    <w:rsid w:val="3F7DAA47"/>
    <w:rsid w:val="3FEF6A07"/>
    <w:rsid w:val="415F08D8"/>
    <w:rsid w:val="44E2230F"/>
    <w:rsid w:val="48B51347"/>
    <w:rsid w:val="491B45FA"/>
    <w:rsid w:val="4A55216A"/>
    <w:rsid w:val="4C360A9D"/>
    <w:rsid w:val="4FE0696A"/>
    <w:rsid w:val="500E3064"/>
    <w:rsid w:val="53410BDE"/>
    <w:rsid w:val="546F8569"/>
    <w:rsid w:val="55673508"/>
    <w:rsid w:val="59595A6F"/>
    <w:rsid w:val="597350B8"/>
    <w:rsid w:val="599330CA"/>
    <w:rsid w:val="5A7FCB1F"/>
    <w:rsid w:val="5B6A4372"/>
    <w:rsid w:val="5F36601F"/>
    <w:rsid w:val="5FEAF7C9"/>
    <w:rsid w:val="5FEFA412"/>
    <w:rsid w:val="60D5009F"/>
    <w:rsid w:val="64AC2E11"/>
    <w:rsid w:val="660721C9"/>
    <w:rsid w:val="661E6C75"/>
    <w:rsid w:val="67F75FF5"/>
    <w:rsid w:val="681D4831"/>
    <w:rsid w:val="692E4B19"/>
    <w:rsid w:val="69513EF7"/>
    <w:rsid w:val="6BF3256F"/>
    <w:rsid w:val="6CE7018A"/>
    <w:rsid w:val="6DEDB046"/>
    <w:rsid w:val="6E3E3F2D"/>
    <w:rsid w:val="715B2F02"/>
    <w:rsid w:val="764C6072"/>
    <w:rsid w:val="76A548F2"/>
    <w:rsid w:val="7765772E"/>
    <w:rsid w:val="776F5E62"/>
    <w:rsid w:val="777D6EF3"/>
    <w:rsid w:val="77867685"/>
    <w:rsid w:val="77EE7FE7"/>
    <w:rsid w:val="781F36B6"/>
    <w:rsid w:val="790627AD"/>
    <w:rsid w:val="79DFF8C4"/>
    <w:rsid w:val="7ADC59FA"/>
    <w:rsid w:val="7AFF2FC3"/>
    <w:rsid w:val="7B6F41DF"/>
    <w:rsid w:val="7BF6B4C5"/>
    <w:rsid w:val="7DDD794F"/>
    <w:rsid w:val="7DFA6624"/>
    <w:rsid w:val="7DFD8AD7"/>
    <w:rsid w:val="7DFEFB95"/>
    <w:rsid w:val="7E9B03C4"/>
    <w:rsid w:val="7ECD6B9A"/>
    <w:rsid w:val="7F7FE75F"/>
    <w:rsid w:val="7FBA576D"/>
    <w:rsid w:val="7FDE47D5"/>
    <w:rsid w:val="7FFA4A42"/>
    <w:rsid w:val="7FFD003D"/>
    <w:rsid w:val="94BFC172"/>
    <w:rsid w:val="9BFA614C"/>
    <w:rsid w:val="BAFE1E17"/>
    <w:rsid w:val="BBDF5B5A"/>
    <w:rsid w:val="BBE428C2"/>
    <w:rsid w:val="BD6F8907"/>
    <w:rsid w:val="BFBF52D7"/>
    <w:rsid w:val="C9FA7C05"/>
    <w:rsid w:val="DF6E82F1"/>
    <w:rsid w:val="DFCEE0CE"/>
    <w:rsid w:val="DFFF7077"/>
    <w:rsid w:val="EEBF76D9"/>
    <w:rsid w:val="F36EF6AC"/>
    <w:rsid w:val="F5BEA0BC"/>
    <w:rsid w:val="F6FDCC0E"/>
    <w:rsid w:val="F75204E9"/>
    <w:rsid w:val="F767D450"/>
    <w:rsid w:val="F76FB1DB"/>
    <w:rsid w:val="F7764ED3"/>
    <w:rsid w:val="F7FBEBBF"/>
    <w:rsid w:val="F9F3FBF0"/>
    <w:rsid w:val="FB9B969D"/>
    <w:rsid w:val="FB9F8FA2"/>
    <w:rsid w:val="FDB5389F"/>
    <w:rsid w:val="FF9D4583"/>
    <w:rsid w:val="FFAFB80B"/>
    <w:rsid w:val="FFF9F86D"/>
    <w:rsid w:val="FFFBF5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7"/>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99"/>
    <w:rPr>
      <w:rFonts w:eastAsia="仿宋_GB2312"/>
      <w:kern w:val="2"/>
      <w:sz w:val="18"/>
      <w:szCs w:val="18"/>
    </w:rPr>
  </w:style>
  <w:style w:type="character" w:customStyle="1" w:styleId="8">
    <w:name w:val="页眉 Char"/>
    <w:basedOn w:val="6"/>
    <w:link w:val="4"/>
    <w:qFormat/>
    <w:uiPriority w:val="0"/>
    <w:rPr>
      <w:rFonts w:eastAsia="仿宋_GB2312"/>
      <w:kern w:val="2"/>
      <w:sz w:val="18"/>
      <w:szCs w:val="18"/>
    </w:rPr>
  </w:style>
  <w:style w:type="character" w:customStyle="1" w:styleId="9">
    <w:name w:val="批注框文本 Char"/>
    <w:basedOn w:val="6"/>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71</Words>
  <Characters>410</Characters>
  <Lines>3</Lines>
  <Paragraphs>1</Paragraphs>
  <TotalTime>9</TotalTime>
  <ScaleCrop>false</ScaleCrop>
  <LinksUpToDate>false</LinksUpToDate>
  <CharactersWithSpaces>480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2019-02-17T22:26:00Z</dcterms:created>
  <dc:creator>lhn</dc:creator>
  <cp:lastModifiedBy>Halcyone</cp:lastModifiedBy>
  <cp:lastPrinted>2023-02-25T09:51:00Z</cp:lastPrinted>
  <dcterms:modified xsi:type="dcterms:W3CDTF">2023-04-12T09:10:40Z</dcterms:modified>
  <dc:title>财政支出绩效评价报告</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