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220" w:firstLineChars="50"/>
        <w:jc w:val="center"/>
        <w:rPr>
          <w:rFonts w:hint="eastAsia" w:ascii="方正小标宋_GBK" w:hAnsi="方正小标宋_GBK" w:eastAsia="方正小标宋_GBK" w:cs="方正小标宋_GBK"/>
          <w:b w:val="0"/>
          <w:bCs/>
          <w:sz w:val="44"/>
          <w:szCs w:val="44"/>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（一）项目基本情况：</w:t>
      </w:r>
      <w:r>
        <w:rPr>
          <w:rFonts w:hint="eastAsia" w:ascii="仿宋_GB2312" w:hAnsi="仿宋_GB2312" w:eastAsia="仿宋_GB2312" w:cs="仿宋_GB2312"/>
          <w:sz w:val="32"/>
          <w:szCs w:val="32"/>
          <w:lang w:val="en-US" w:eastAsia="zh-CN"/>
        </w:rPr>
        <w:t xml:space="preserve">为贯彻落实党和国家有关卫生健康工作的方针政策及县卫生健康发展规划和政策措施。保亭县旅文局开展艾滋病等重大传染病防控工作，主要通过宣传科普等方式，提高全体职工干部及家属的个人健康责任意识，一定程度上遏制了艾滋病流行。          </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项目预期总目标为通过宣传增强艾滋病防治意识，避免和减少不安全性行为，遏制艾滋病性病传播上升势头，为我县艾滋病疫情继续控制在低流行水平贡献一份力量。相应设置的绩效指标为：</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1.产出指标率:产出完成达到90%以上,绩效标准达到“优”。</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2.效益指标率:成本控制不超预算，绩效标准达到“优”。</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3.满意度指标率:服务对象满意度达90%以上，绩效标准达到“优”。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所有的绩效指标都已达到设定的目标。</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sz w:val="32"/>
          <w:szCs w:val="32"/>
        </w:rPr>
        <w:t>（一）项目决策情况</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项目资金支出由县民族博物馆根据实际工作需要和相应的财务制度申报，后经局领导班子成员逐级审批同意后，支付相应款项。</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项目资金安排落实、总投入等情况</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该项目资金来自县财政局下达的重大传染病病防控经费，安排0.5万元，实际拨付到位资金0.5万元，资金到位率100%。</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项目资金实际使用情况</w:t>
      </w:r>
    </w:p>
    <w:p>
      <w:pPr>
        <w:numPr>
          <w:ilvl w:val="0"/>
          <w:numId w:val="0"/>
        </w:num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重大传染病防控经费0.5万元，实际支出0.5万元，使用率100%，主要用于拨付局机关及下属单位和负责辖区内开展艾滋病防治宣传等方面的支出。</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numPr>
          <w:ilvl w:val="0"/>
          <w:numId w:val="0"/>
        </w:numPr>
        <w:spacing w:line="53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重大传染病防控经费严格执行财务管理制度，一是严格执行资金使用审批手续，由分管领导、主要领导和财务人员审核后落实；二是严格执行资金使用标准；三是严格执行资金使用报账制度，确保资金使用、管理符合财务制度规定，发挥最大使用效益。</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重大传染病防控经费项目已完成拨付</w:t>
      </w:r>
      <w:r>
        <w:rPr>
          <w:rFonts w:hint="eastAsia" w:ascii="仿宋_GB2312" w:hAnsi="仿宋_GB2312" w:eastAsia="仿宋_GB2312" w:cs="仿宋_GB2312"/>
          <w:kern w:val="2"/>
          <w:sz w:val="32"/>
          <w:szCs w:val="32"/>
          <w:lang w:val="en-US" w:eastAsia="zh-CN" w:bidi="ar-SA"/>
        </w:rPr>
        <w:t>。</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numPr>
          <w:ilvl w:val="0"/>
          <w:numId w:val="0"/>
        </w:num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经费严格按预算支出均按照财务制度执行、严格把控资金管理使用。此次绩效评价未发现有挤占或挪用项目资金的情况。</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重大传染病防控经费安排0.547万元，实际支出0.547万元，成本控制在预算内，使用合理。</w:t>
      </w:r>
    </w:p>
    <w:p>
      <w:pPr>
        <w:numPr>
          <w:ilvl w:val="0"/>
          <w:numId w:val="3"/>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项目成本（预算）节约情况</w:t>
      </w:r>
    </w:p>
    <w:p>
      <w:pPr>
        <w:numPr>
          <w:ilvl w:val="0"/>
          <w:numId w:val="0"/>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重大传染病防控经费安排0.5万元，实际支出0.5万元，使用合理，无浪费行为。</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（1）项目实施进度</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重大传染病防控经费项目均在2022年底按质按量完成。</w:t>
      </w:r>
    </w:p>
    <w:p>
      <w:pPr>
        <w:numPr>
          <w:ilvl w:val="0"/>
          <w:numId w:val="3"/>
        </w:numPr>
        <w:spacing w:line="53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项目完成质量</w:t>
      </w:r>
    </w:p>
    <w:p>
      <w:pPr>
        <w:numPr>
          <w:ilvl w:val="0"/>
          <w:numId w:val="0"/>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重大传染病防控经费安排0.5万元，实际支出0.5万元，完成率达100%，且已验收合格。</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该项目按照所涉及到的经费有计划、有步骤稳妥支出，已全部完成重大传染病防控的工作内容，达到预期目的。</w:t>
      </w:r>
    </w:p>
    <w:p>
      <w:pPr>
        <w:numPr>
          <w:ilvl w:val="0"/>
          <w:numId w:val="4"/>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项目实施对社会的影响</w:t>
      </w:r>
    </w:p>
    <w:p>
      <w:pPr>
        <w:numPr>
          <w:ilvl w:val="0"/>
          <w:numId w:val="0"/>
        </w:num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重大传染病防控是一项关乎国民健康的工作，需要各方的共同参与和努力，调动全社会力量，扎实推动艾滋病防控工作深入开展，将我国艾滋病疫情总体继续控制在低流行水平，保障人民群众健康。</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4.项目可持续性分析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对重大传染病防控宣传有利于将我县艾滋病疫情继续控制在低流行水平，有效提高了各类传染病高危人群的自我防护意识和科学防护能力，为重点传染病防控工作提供了有力的保障。</w:t>
      </w:r>
      <w:bookmarkStart w:id="0" w:name="_GoBack"/>
      <w:bookmarkEnd w:id="0"/>
    </w:p>
    <w:p>
      <w:pPr>
        <w:numPr>
          <w:ilvl w:val="0"/>
          <w:numId w:val="2"/>
        </w:numPr>
        <w:spacing w:line="530" w:lineRule="exact"/>
        <w:ind w:left="0" w:leftChars="0"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项目绩效目标未完成情况及原因分析</w:t>
      </w:r>
    </w:p>
    <w:p>
      <w:pPr>
        <w:numPr>
          <w:ilvl w:val="0"/>
          <w:numId w:val="0"/>
        </w:num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项目绩效目标已完成。</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主要经验及做法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工作过程中，严格规范财务制度，形成了严格、科学、高效的运行机制。严格审批程序。本项目资金审批严格依据相关制度执行。通过严格规范的工作程序，确保资金专款专用。</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存在问题和建议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1.存在问题</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对于绩效评价的认识不够深入，把预算绩效简单等同于工作目标、工作考核和业务管理</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对项目执行过程有效约束不够，存在一定的偏差</w:t>
      </w:r>
      <w:r>
        <w:rPr>
          <w:rFonts w:hint="eastAsia" w:ascii="仿宋_GB2312" w:hAnsi="仿宋_GB2312" w:eastAsia="仿宋_GB2312" w:cs="仿宋_GB2312"/>
          <w:sz w:val="32"/>
          <w:szCs w:val="32"/>
          <w:lang w:val="en-US" w:eastAsia="zh-CN"/>
        </w:rPr>
        <w:t>;</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2.有关建议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cs="仿宋_GB2312"/>
          <w:sz w:val="32"/>
          <w:szCs w:val="3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A57809"/>
    <w:multiLevelType w:val="singleLevel"/>
    <w:tmpl w:val="BFA57809"/>
    <w:lvl w:ilvl="0" w:tentative="0">
      <w:start w:val="2"/>
      <w:numFmt w:val="chineseCounting"/>
      <w:suff w:val="nothing"/>
      <w:lvlText w:val="（%1）"/>
      <w:lvlJc w:val="left"/>
      <w:rPr>
        <w:rFonts w:hint="eastAsia"/>
      </w:rPr>
    </w:lvl>
  </w:abstractNum>
  <w:abstractNum w:abstractNumId="1">
    <w:nsid w:val="389327A5"/>
    <w:multiLevelType w:val="singleLevel"/>
    <w:tmpl w:val="389327A5"/>
    <w:lvl w:ilvl="0" w:tentative="0">
      <w:start w:val="2"/>
      <w:numFmt w:val="chineseCounting"/>
      <w:suff w:val="nothing"/>
      <w:lvlText w:val="（%1）"/>
      <w:lvlJc w:val="left"/>
      <w:rPr>
        <w:rFonts w:hint="eastAsia"/>
      </w:rPr>
    </w:lvl>
  </w:abstractNum>
  <w:abstractNum w:abstractNumId="2">
    <w:nsid w:val="559FB1E1"/>
    <w:multiLevelType w:val="singleLevel"/>
    <w:tmpl w:val="559FB1E1"/>
    <w:lvl w:ilvl="0" w:tentative="0">
      <w:start w:val="2"/>
      <w:numFmt w:val="decimal"/>
      <w:suff w:val="nothing"/>
      <w:lvlText w:val="（%1）"/>
      <w:lvlJc w:val="left"/>
    </w:lvl>
  </w:abstractNum>
  <w:abstractNum w:abstractNumId="3">
    <w:nsid w:val="60AEADDA"/>
    <w:multiLevelType w:val="singleLevel"/>
    <w:tmpl w:val="60AEADDA"/>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36551186"/>
    <w:rsid w:val="3BCC663F"/>
    <w:rsid w:val="4CC8187F"/>
    <w:rsid w:val="585D5F90"/>
    <w:rsid w:val="5FD60CD3"/>
    <w:rsid w:val="64911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2023-05-06T03:41:43Z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C55B7BD0F4E840D1AA3E67667BEA54CE</vt:lpwstr>
  </property>
</Properties>
</file>