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bCs/>
          <w:sz w:val="28"/>
          <w:szCs w:val="28"/>
        </w:rPr>
      </w:pPr>
    </w:p>
    <w:p>
      <w:pPr>
        <w:keepNext w:val="0"/>
        <w:keepLines w:val="0"/>
        <w:pageBreakBefore w:val="0"/>
        <w:widowControl/>
        <w:kinsoku/>
        <w:wordWrap/>
        <w:overflowPunct/>
        <w:topLinePunct w:val="0"/>
        <w:autoSpaceDE/>
        <w:bidi w:val="0"/>
        <w:spacing w:line="600" w:lineRule="exact"/>
        <w:ind w:left="0"/>
        <w:jc w:val="center"/>
        <w:rPr>
          <w:rFonts w:hint="eastAsia" w:ascii="仿宋_GB2312" w:hAnsi="仿宋_GB2312" w:eastAsia="仿宋_GB2312" w:cs="仿宋_GB2312"/>
          <w:b/>
          <w:bCs/>
          <w:color w:val="000000"/>
          <w:kern w:val="0"/>
          <w:sz w:val="36"/>
          <w:szCs w:val="36"/>
          <w:lang w:eastAsia="zh-CN"/>
        </w:rPr>
      </w:pPr>
      <w:r>
        <w:rPr>
          <w:rFonts w:hint="eastAsia" w:ascii="仿宋_GB2312" w:hAnsi="仿宋_GB2312" w:eastAsia="仿宋_GB2312" w:cs="仿宋_GB2312"/>
          <w:b/>
          <w:bCs/>
          <w:color w:val="000000"/>
          <w:kern w:val="0"/>
          <w:sz w:val="36"/>
          <w:szCs w:val="36"/>
        </w:rPr>
        <w:t>财政支出项目绩效评价报告</w:t>
      </w: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评价类型：</w:t>
      </w:r>
      <w:r>
        <w:rPr>
          <w:rFonts w:hint="eastAsia" w:ascii="仿宋_GB2312" w:hAnsi="仿宋_GB2312" w:eastAsia="仿宋_GB2312" w:cs="仿宋_GB2312"/>
          <w:spacing w:val="-20"/>
          <w:sz w:val="28"/>
          <w:szCs w:val="28"/>
          <w:u w:val="single"/>
        </w:rPr>
        <w:sym w:font="Wingdings" w:char="00A8"/>
      </w:r>
      <w:r>
        <w:rPr>
          <w:rFonts w:hint="eastAsia" w:ascii="仿宋_GB2312" w:hAnsi="仿宋_GB2312" w:eastAsia="仿宋_GB2312" w:cs="仿宋_GB2312"/>
          <w:sz w:val="28"/>
          <w:szCs w:val="28"/>
          <w:u w:val="single"/>
        </w:rPr>
        <w:t>实施过程评价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完成结果评价</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综合事务</w:t>
      </w:r>
      <w:r>
        <w:rPr>
          <w:rFonts w:hint="eastAsia" w:ascii="仿宋_GB2312" w:hAnsi="仿宋_GB2312" w:eastAsia="仿宋_GB2312" w:cs="仿宋_GB2312"/>
          <w:sz w:val="28"/>
          <w:szCs w:val="28"/>
          <w:u w:val="single"/>
        </w:rPr>
        <w:t xml:space="preserve">经费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项目单位：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保亭黎族苗族自治县社会保险服务中心</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主管部门：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评价时间： </w:t>
      </w:r>
      <w:r>
        <w:rPr>
          <w:rFonts w:hint="eastAsia" w:ascii="仿宋_GB2312" w:hAnsi="仿宋_GB2312" w:eastAsia="仿宋_GB2312" w:cs="仿宋_GB2312"/>
          <w:sz w:val="28"/>
          <w:szCs w:val="28"/>
          <w:u w:val="single"/>
        </w:rPr>
        <w:t xml:space="preserve"> 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日至20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25</w:t>
      </w:r>
      <w:r>
        <w:rPr>
          <w:rFonts w:hint="eastAsia" w:ascii="仿宋_GB2312" w:hAnsi="仿宋_GB2312" w:eastAsia="仿宋_GB2312" w:cs="仿宋_GB2312"/>
          <w:sz w:val="28"/>
          <w:szCs w:val="28"/>
          <w:u w:val="single"/>
        </w:rPr>
        <w:t>日</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组织方式：</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财政部门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主管部门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评价机构：</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中介机构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专家组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项目单位评组</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评价单位（盖章）：</w:t>
      </w:r>
      <w:r>
        <w:rPr>
          <w:rFonts w:hint="eastAsia" w:ascii="仿宋_GB2312" w:hAnsi="仿宋_GB2312" w:eastAsia="仿宋_GB2312" w:cs="仿宋_GB2312"/>
          <w:sz w:val="28"/>
          <w:szCs w:val="28"/>
          <w:lang w:eastAsia="zh-CN"/>
        </w:rPr>
        <w:t>保亭黎族苗族自治县社会保险服务中心</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上报时间：20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pStyle w:val="2"/>
        <w:keepNext w:val="0"/>
        <w:keepLines w:val="0"/>
        <w:pageBreakBefore w:val="0"/>
        <w:kinsoku/>
        <w:wordWrap/>
        <w:overflowPunct/>
        <w:topLinePunct w:val="0"/>
        <w:autoSpaceDE/>
        <w:bidi w:val="0"/>
        <w:spacing w:line="600" w:lineRule="exact"/>
        <w:rPr>
          <w:rFonts w:hint="eastAsia"/>
        </w:rPr>
      </w:pPr>
    </w:p>
    <w:p>
      <w:pPr>
        <w:pStyle w:val="2"/>
        <w:keepNext w:val="0"/>
        <w:keepLines w:val="0"/>
        <w:pageBreakBefore w:val="0"/>
        <w:kinsoku/>
        <w:wordWrap/>
        <w:overflowPunct/>
        <w:topLinePunct w:val="0"/>
        <w:autoSpaceDE/>
        <w:bidi w:val="0"/>
        <w:spacing w:line="600" w:lineRule="exact"/>
        <w:rPr>
          <w:rFonts w:hint="eastAsia"/>
        </w:rPr>
      </w:pPr>
    </w:p>
    <w:tbl>
      <w:tblPr>
        <w:tblStyle w:val="12"/>
        <w:tblpPr w:leftFromText="180" w:rightFromText="180" w:vertAnchor="text" w:horzAnchor="page" w:tblpX="1487" w:tblpY="159"/>
        <w:tblOverlap w:val="never"/>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8"/>
        <w:gridCol w:w="1096"/>
        <w:gridCol w:w="1141"/>
        <w:gridCol w:w="548"/>
        <w:gridCol w:w="1480"/>
        <w:gridCol w:w="148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8948" w:type="dxa"/>
            <w:gridSpan w:val="7"/>
            <w:tcBorders>
              <w:top w:val="nil"/>
              <w:left w:val="nil"/>
              <w:bottom w:val="nil"/>
              <w:right w:val="nil"/>
            </w:tcBorders>
            <w:shd w:val="clear" w:color="auto" w:fill="FFFFFF"/>
            <w:vAlign w:val="top"/>
          </w:tcPr>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32"/>
                <w:szCs w:val="32"/>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25"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项目：</w:t>
            </w:r>
            <w:r>
              <w:rPr>
                <w:rFonts w:hint="eastAsia" w:asciiTheme="minorEastAsia" w:hAnsiTheme="minorEastAsia" w:eastAsiaTheme="minorEastAsia" w:cstheme="minorEastAsia"/>
                <w:b w:val="0"/>
                <w:bCs w:val="0"/>
                <w:color w:val="000000"/>
                <w:kern w:val="0"/>
                <w:sz w:val="28"/>
                <w:szCs w:val="28"/>
                <w:lang w:eastAsia="zh-CN"/>
              </w:rPr>
              <w:t>综合事务经费</w:t>
            </w:r>
          </w:p>
        </w:tc>
        <w:tc>
          <w:tcPr>
            <w:tcW w:w="4723" w:type="dxa"/>
            <w:gridSpan w:val="4"/>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单位：</w:t>
            </w:r>
            <w:r>
              <w:rPr>
                <w:rFonts w:hint="eastAsia" w:asciiTheme="minorEastAsia" w:hAnsiTheme="minorEastAsia" w:eastAsiaTheme="minorEastAsia" w:cstheme="minorEastAsia"/>
                <w:b w:val="0"/>
                <w:bCs w:val="0"/>
                <w:color w:val="000000"/>
                <w:kern w:val="0"/>
                <w:sz w:val="28"/>
                <w:szCs w:val="28"/>
                <w:lang w:eastAsia="zh-CN"/>
              </w:rPr>
              <w:t>保亭黎族苗族自治县社会保险服务中心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绩效指标</w:t>
            </w:r>
          </w:p>
        </w:tc>
        <w:tc>
          <w:tcPr>
            <w:tcW w:w="109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绩效目标</w:t>
            </w:r>
          </w:p>
        </w:tc>
        <w:tc>
          <w:tcPr>
            <w:tcW w:w="586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优</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良</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中</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预算执行率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产出</w:t>
            </w:r>
            <w:r>
              <w:rPr>
                <w:rFonts w:hint="eastAsia" w:asciiTheme="minorEastAsia" w:hAnsiTheme="minorEastAsia" w:eastAsiaTheme="minorEastAsia" w:cstheme="minorEastAsia"/>
                <w:b w:val="0"/>
                <w:bCs w:val="0"/>
                <w:color w:val="000000"/>
                <w:kern w:val="0"/>
                <w:sz w:val="28"/>
                <w:szCs w:val="28"/>
              </w:rPr>
              <w:t>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数量指标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质量指标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时效指标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支出进度及时性</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按时或提前完成</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进度慢，整改后按时完成</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进度慢，整改后未完成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效益</w:t>
            </w:r>
            <w:r>
              <w:rPr>
                <w:rFonts w:hint="eastAsia" w:asciiTheme="minorEastAsia" w:hAnsiTheme="minorEastAsia" w:eastAsiaTheme="minorEastAsia" w:cstheme="minorEastAsia"/>
                <w:b w:val="0"/>
                <w:bCs w:val="0"/>
                <w:color w:val="000000"/>
                <w:kern w:val="0"/>
                <w:sz w:val="28"/>
                <w:szCs w:val="28"/>
              </w:rPr>
              <w:t>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社会效益指标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提高</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rPr>
            </w:pPr>
            <w:r>
              <w:rPr>
                <w:rFonts w:hint="eastAsia" w:ascii="仿宋_GB2312" w:hAnsi="仿宋_GB2312" w:eastAsia="仿宋_GB2312" w:cs="仿宋_GB2312"/>
                <w:i w:val="0"/>
                <w:color w:val="000000"/>
                <w:kern w:val="0"/>
                <w:sz w:val="24"/>
                <w:szCs w:val="24"/>
                <w:u w:val="none"/>
                <w:lang w:val="en-US" w:eastAsia="zh-CN" w:bidi="ar"/>
              </w:rPr>
              <w:t>明显提高</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rPr>
            </w:pPr>
            <w:r>
              <w:rPr>
                <w:rFonts w:hint="eastAsia" w:ascii="仿宋_GB2312" w:hAnsi="仿宋_GB2312" w:eastAsia="仿宋_GB2312" w:cs="仿宋_GB2312"/>
                <w:i w:val="0"/>
                <w:color w:val="000000"/>
                <w:kern w:val="0"/>
                <w:sz w:val="24"/>
                <w:szCs w:val="24"/>
                <w:u w:val="none"/>
                <w:lang w:val="en-US" w:eastAsia="zh-CN" w:bidi="ar"/>
              </w:rPr>
              <w:t>一般提高</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000000"/>
                <w:kern w:val="0"/>
                <w:sz w:val="21"/>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不提高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可持续影响指标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可持续</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可持续</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仿宋_GB2312" w:hAnsi="仿宋_GB2312" w:eastAsia="仿宋_GB2312" w:cs="仿宋_GB2312"/>
                <w:i w:val="0"/>
                <w:color w:val="000000"/>
                <w:kern w:val="0"/>
                <w:sz w:val="24"/>
                <w:szCs w:val="24"/>
                <w:u w:val="none"/>
                <w:lang w:val="en-US" w:eastAsia="zh-CN" w:bidi="ar"/>
              </w:rPr>
              <w:t>不合格，整改后可持续</w:t>
            </w:r>
          </w:p>
        </w:tc>
        <w:tc>
          <w:tcPr>
            <w:tcW w:w="14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color w:val="000000"/>
                <w:kern w:val="0"/>
                <w:sz w:val="21"/>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仿宋_GB2312" w:hAnsi="仿宋_GB2312" w:eastAsia="仿宋_GB2312" w:cs="仿宋_GB2312"/>
                <w:i w:val="0"/>
                <w:color w:val="000000"/>
                <w:kern w:val="0"/>
                <w:sz w:val="24"/>
                <w:szCs w:val="24"/>
                <w:u w:val="none"/>
                <w:lang w:val="en-US" w:eastAsia="zh-CN" w:bidi="ar"/>
              </w:rPr>
              <w:t>整改后，依旧不可持续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满意度指标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lang w:val="en-US" w:eastAsia="zh-CN"/>
              </w:rPr>
            </w:pPr>
          </w:p>
        </w:tc>
        <w:tc>
          <w:tcPr>
            <w:tcW w:w="16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服务对象满意度指标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95%</w:t>
            </w:r>
          </w:p>
        </w:tc>
        <w:tc>
          <w:tcPr>
            <w:tcW w:w="16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&lt;</w:t>
            </w:r>
            <w:r>
              <w:rPr>
                <w:rFonts w:hint="eastAsia" w:asciiTheme="minorEastAsia" w:hAnsiTheme="minorEastAsia" w:eastAsiaTheme="minorEastAsia" w:cstheme="minorEastAsia"/>
                <w:b w:val="0"/>
                <w:bCs w:val="0"/>
                <w:i w:val="0"/>
                <w:color w:val="000000"/>
                <w:kern w:val="0"/>
                <w:sz w:val="21"/>
                <w:szCs w:val="21"/>
                <w:u w:val="none"/>
                <w:lang w:val="en-US" w:eastAsia="zh-CN" w:bidi="ar"/>
              </w:rPr>
              <w:t>95%≧80%</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i w:val="0"/>
                <w:color w:val="000000"/>
                <w:kern w:val="0"/>
                <w:sz w:val="21"/>
                <w:szCs w:val="21"/>
                <w:u w:val="none"/>
                <w:lang w:val="en-US" w:eastAsia="zh-CN" w:bidi="ar"/>
              </w:rPr>
              <w:t>80%≧60%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color w:val="000000"/>
                <w:kern w:val="0"/>
                <w:sz w:val="21"/>
                <w:szCs w:val="21"/>
                <w:lang w:val="en-US" w:eastAsia="zh-CN"/>
              </w:rPr>
              <w:t>60%</w:t>
            </w:r>
          </w:p>
        </w:tc>
      </w:tr>
    </w:tbl>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pStyle w:val="2"/>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项目基本信息</w:t>
      </w:r>
    </w:p>
    <w:tbl>
      <w:tblPr>
        <w:tblStyle w:val="12"/>
        <w:tblpPr w:leftFromText="180" w:rightFromText="180" w:vertAnchor="text" w:horzAnchor="page" w:tblpX="1190" w:tblpY="183"/>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959"/>
        <w:gridCol w:w="209"/>
        <w:gridCol w:w="36"/>
        <w:gridCol w:w="757"/>
        <w:gridCol w:w="530"/>
        <w:gridCol w:w="825"/>
        <w:gridCol w:w="211"/>
        <w:gridCol w:w="352"/>
        <w:gridCol w:w="416"/>
        <w:gridCol w:w="145"/>
        <w:gridCol w:w="1065"/>
        <w:gridCol w:w="62"/>
        <w:gridCol w:w="658"/>
        <w:gridCol w:w="217"/>
        <w:gridCol w:w="633"/>
        <w:gridCol w:w="2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8"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058"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项目实施单位</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保亭黎族苗族自治县社会保险服务中心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7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项目负责人</w:t>
            </w:r>
          </w:p>
        </w:tc>
        <w:tc>
          <w:tcPr>
            <w:tcW w:w="2711"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许健</w:t>
            </w:r>
          </w:p>
        </w:tc>
        <w:tc>
          <w:tcPr>
            <w:tcW w:w="1626"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995"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13876520011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99"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保亭县宝亭大道芙蓉小区</w:t>
            </w:r>
            <w:r>
              <w:rPr>
                <w:rFonts w:hint="eastAsia" w:ascii="仿宋_GB2312" w:hAnsi="仿宋_GB2312" w:eastAsia="仿宋_GB2312" w:cs="仿宋_GB2312"/>
                <w:sz w:val="30"/>
                <w:szCs w:val="30"/>
                <w:lang w:val="en-US" w:eastAsia="zh-CN"/>
              </w:rPr>
              <w:t>20号就业和社会保障服务中心二楼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项目类型</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经常性项目（√）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72"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计划投资额</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227.73</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实际到位资金（</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227.73</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实际使用情况（万元）</w:t>
            </w: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34"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both"/>
              <w:rPr>
                <w:rFonts w:hint="default" w:ascii="仿宋_GB2312" w:hAnsi="仿宋_GB2312" w:eastAsia="仿宋_GB2312" w:cs="仿宋_GB2312"/>
                <w:sz w:val="30"/>
                <w:szCs w:val="30"/>
                <w:lang w:val="en-US" w:eastAsia="zh-CN"/>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227.73</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227.73</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20"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b/>
                <w:color w:val="000000"/>
                <w:sz w:val="28"/>
                <w:szCs w:val="28"/>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一级指标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二级指标</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三级指标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10"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预算执行率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产出指标</w:t>
            </w:r>
          </w:p>
        </w:tc>
        <w:tc>
          <w:tcPr>
            <w:tcW w:w="1002"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0</w:t>
            </w:r>
          </w:p>
        </w:tc>
        <w:tc>
          <w:tcPr>
            <w:tcW w:w="1566"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数量指标</w:t>
            </w:r>
            <w:r>
              <w:rPr>
                <w:rFonts w:hint="eastAsia" w:ascii="仿宋_GB2312" w:hAnsi="仿宋_GB2312" w:eastAsia="仿宋_GB2312" w:cs="仿宋_GB2312"/>
                <w:kern w:val="2"/>
                <w:sz w:val="32"/>
                <w:szCs w:val="32"/>
                <w:lang w:val="en-US" w:eastAsia="zh-CN" w:bidi="ar-SA"/>
              </w:rPr>
              <w:pict>
                <v:shape id="_x0000_i1025"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6"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7"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8" o:spt="75" type="#_x0000_t75" style="height:1.5pt;width:1.5pt;" filled="f" o:preferrelative="t" stroked="f" coordsize="21600,21600">
                  <v:path/>
                  <v:fill on="f" focussize="0,0"/>
                  <v:stroke on="f"/>
                  <v:imagedata r:id="rId8" blacklevel="0f" o:title=""/>
                  <o:lock v:ext="edit" aspectratio="t"/>
                  <w10:wrap type="none"/>
                  <w10:anchorlock/>
                </v:shape>
              </w:pict>
            </w:r>
          </w:p>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26</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工资及劳务费支出完成率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2"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930" w:type="dxa"/>
            <w:gridSpan w:val="4"/>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培训费、公务接待费支出完成率</w:t>
            </w:r>
          </w:p>
        </w:tc>
        <w:tc>
          <w:tcPr>
            <w:tcW w:w="85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6</w:t>
            </w:r>
          </w:p>
        </w:tc>
        <w:tc>
          <w:tcPr>
            <w:tcW w:w="142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50"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768" w:type="dxa"/>
            <w:gridSpan w:val="2"/>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办公用品、耗材等支出完成率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质量指标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质量达标率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时效指标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完成及时性</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效益指标</w:t>
            </w:r>
          </w:p>
        </w:tc>
        <w:tc>
          <w:tcPr>
            <w:tcW w:w="1002"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社会效益指标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群众满意度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15</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00" w:hRule="atLeast"/>
        </w:trPr>
        <w:tc>
          <w:tcPr>
            <w:tcW w:w="195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可持续影响指标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项目可持续性</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6"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firstLine="160" w:firstLineChars="5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满意度指标</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服务对象满意度指标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受益</w:t>
            </w:r>
            <w:r>
              <w:rPr>
                <w:rFonts w:hint="eastAsia" w:ascii="仿宋_GB2312" w:hAnsi="仿宋_GB2312" w:eastAsia="仿宋_GB2312" w:cs="仿宋_GB2312"/>
                <w:color w:val="000000"/>
                <w:sz w:val="21"/>
                <w:szCs w:val="21"/>
              </w:rPr>
              <w:t>对象满意度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00"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总分</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95" w:type="dxa"/>
            <w:gridSpan w:val="9"/>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评价等次</w:t>
            </w:r>
          </w:p>
        </w:tc>
        <w:tc>
          <w:tcPr>
            <w:tcW w:w="4205"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tabs>
                <w:tab w:val="left" w:pos="592"/>
              </w:tabs>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许健</w:t>
            </w:r>
            <w:r>
              <w:rPr>
                <w:rFonts w:hint="eastAsia" w:ascii="仿宋_GB2312" w:hAnsi="仿宋_GB2312" w:eastAsia="仿宋_GB2312" w:cs="仿宋_GB2312"/>
                <w:sz w:val="32"/>
                <w:szCs w:val="32"/>
              </w:rPr>
              <w:t>　</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周麒修</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王道文</w:t>
            </w:r>
          </w:p>
        </w:tc>
        <w:tc>
          <w:tcPr>
            <w:tcW w:w="2112" w:type="dxa"/>
            <w:gridSpan w:val="3"/>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黄小凡</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徐日定</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一级科员</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6"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评价工作组组长（签字）：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bookmarkStart w:id="0" w:name="_GoBack"/>
            <w:bookmarkEnd w:id="0"/>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项目单位负责人（签字并盖章）：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3" w:firstLineChars="150"/>
        <w:jc w:val="center"/>
        <w:textAlignment w:val="auto"/>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eastAsia="zh-CN"/>
        </w:rPr>
        <w:t>综合事务经费项目</w:t>
      </w:r>
      <w:r>
        <w:rPr>
          <w:rFonts w:hint="eastAsia" w:asciiTheme="minorEastAsia" w:hAnsiTheme="minorEastAsia" w:eastAsiaTheme="minorEastAsia" w:cstheme="minorEastAsia"/>
          <w:b/>
          <w:sz w:val="44"/>
          <w:szCs w:val="44"/>
        </w:rPr>
        <w:t>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（一）项目单位基本情况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项目单位保亭黎族苗族自治县社会保险服务中心（以下简称县社保中心），隶属保亭黎族苗族自治县人民政府，作为县政府直属的社保经办机构，副科级公益一类事业单位。项目单位是负责城镇从业人员基本养老保险、城乡居民基本养老保险、城镇从业人员基本医疗保险、城乡居民基本医疗保险、工伤保险、职业年金等各项社会保险参保登记、缴费核定、贫困人员城乡医疗保费代缴、医疗待遇报销审核、养老待遇发放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为确保我单位各项社会保险业务正常运转，提高工作效率、提升服务质量，根据《中华人民共和国预算法》、《中共海南省委 海南省人民政府关于全面实施预算绩效管理的实施意见》、省财政厅《海南省省本级项目支出预算管理办法》等相关财务管理制度，申请项目经费立项。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）项目基本性质，用途和主要内容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项目性质：该项目属于经常性项目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项目用途：主要用于维持单位日常办公支出，确保单位的正常运转。</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项目主要内容：一是支付职工工资、劳务费支出、职工社保缴纳；二是购买各种办公用品、耗材、支付印刷费和水电费、公务接待、误餐及差旅费；三是组织开展业务培训以及开展各项业务工作经费支出等。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二、项目</w:t>
      </w:r>
      <w:r>
        <w:rPr>
          <w:rFonts w:hint="eastAsia" w:ascii="仿宋" w:hAnsi="仿宋" w:eastAsia="仿宋" w:cs="仿宋"/>
          <w:b/>
          <w:sz w:val="32"/>
          <w:szCs w:val="32"/>
          <w:lang w:eastAsia="zh-CN"/>
        </w:rPr>
        <w:t>决策及</w:t>
      </w:r>
      <w:r>
        <w:rPr>
          <w:rFonts w:hint="eastAsia" w:ascii="仿宋" w:hAnsi="仿宋" w:eastAsia="仿宋" w:cs="仿宋"/>
          <w:b/>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（一）项目决策情况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我单位综合事务经费项目</w:t>
      </w:r>
      <w:r>
        <w:rPr>
          <w:rFonts w:hint="eastAsia" w:ascii="仿宋" w:hAnsi="仿宋" w:eastAsia="仿宋" w:cs="仿宋"/>
          <w:bCs/>
          <w:color w:val="000000"/>
          <w:sz w:val="32"/>
          <w:szCs w:val="32"/>
        </w:rPr>
        <w:t>严格按照</w:t>
      </w:r>
      <w:r>
        <w:rPr>
          <w:rFonts w:hint="eastAsia" w:ascii="仿宋" w:hAnsi="仿宋" w:eastAsia="仿宋" w:cs="仿宋"/>
          <w:b w:val="0"/>
          <w:bCs w:val="0"/>
          <w:sz w:val="32"/>
          <w:szCs w:val="32"/>
          <w:lang w:val="en-US" w:eastAsia="zh-CN"/>
        </w:rPr>
        <w:t>《中华人民共和国预算法》、《中共海南省委 海南省人民政府关于全面实施预算绩效管理的实施意见》、省财政厅《海南省省本级项目支出预算管理办法》等相关财务管理制度来编制年度预算，申请项目立项。预算支出严格按照</w:t>
      </w:r>
      <w:r>
        <w:rPr>
          <w:rFonts w:hint="eastAsia" w:ascii="仿宋" w:hAnsi="仿宋" w:eastAsia="仿宋" w:cs="仿宋"/>
          <w:bCs/>
          <w:color w:val="000000"/>
          <w:sz w:val="32"/>
          <w:szCs w:val="32"/>
          <w:lang w:eastAsia="zh-CN"/>
        </w:rPr>
        <w:t>《海南省省本级项目支出预算管理办法》相关规定和我县财政局相关</w:t>
      </w:r>
      <w:r>
        <w:rPr>
          <w:rFonts w:hint="eastAsia" w:ascii="仿宋" w:hAnsi="仿宋" w:eastAsia="仿宋" w:cs="仿宋"/>
          <w:bCs/>
          <w:color w:val="000000"/>
          <w:sz w:val="32"/>
          <w:szCs w:val="32"/>
        </w:rPr>
        <w:t>财务制度执行</w:t>
      </w:r>
      <w:r>
        <w:rPr>
          <w:rFonts w:hint="eastAsia" w:ascii="仿宋" w:hAnsi="仿宋" w:eastAsia="仿宋" w:cs="仿宋"/>
          <w:bCs/>
          <w:color w:val="000000"/>
          <w:sz w:val="32"/>
          <w:szCs w:val="32"/>
          <w:lang w:eastAsia="zh-CN"/>
        </w:rPr>
        <w:t>，项目决策符合相关规定。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）项目资金到位情况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50"/>
        <w:textAlignment w:val="auto"/>
        <w:rPr>
          <w:rFonts w:hint="eastAsia" w:ascii="仿宋" w:hAnsi="仿宋" w:eastAsia="仿宋" w:cs="仿宋"/>
          <w:sz w:val="32"/>
          <w:szCs w:val="32"/>
        </w:rPr>
      </w:pPr>
      <w:r>
        <w:rPr>
          <w:rFonts w:hint="eastAsia" w:ascii="仿宋" w:hAnsi="仿宋" w:eastAsia="仿宋" w:cs="仿宋"/>
          <w:bCs/>
          <w:color w:val="000000"/>
          <w:kern w:val="0"/>
          <w:sz w:val="32"/>
          <w:szCs w:val="32"/>
          <w:lang w:eastAsia="zh-CN"/>
        </w:rPr>
        <w:t>综合事务工作经费</w:t>
      </w:r>
      <w:r>
        <w:rPr>
          <w:rFonts w:hint="eastAsia" w:ascii="仿宋" w:hAnsi="仿宋" w:eastAsia="仿宋" w:cs="仿宋"/>
          <w:sz w:val="32"/>
          <w:szCs w:val="32"/>
        </w:rPr>
        <w:t>项目，</w:t>
      </w:r>
      <w:r>
        <w:rPr>
          <w:rFonts w:hint="eastAsia" w:ascii="仿宋" w:hAnsi="仿宋" w:eastAsia="仿宋" w:cs="仿宋"/>
          <w:sz w:val="32"/>
          <w:szCs w:val="32"/>
          <w:lang w:eastAsia="zh-CN"/>
        </w:rPr>
        <w:t>预</w:t>
      </w:r>
      <w:r>
        <w:rPr>
          <w:rFonts w:hint="eastAsia" w:ascii="仿宋" w:hAnsi="仿宋" w:eastAsia="仿宋" w:cs="仿宋"/>
          <w:sz w:val="32"/>
          <w:szCs w:val="32"/>
        </w:rPr>
        <w:t>算总投资为</w:t>
      </w:r>
      <w:r>
        <w:rPr>
          <w:rFonts w:hint="eastAsia" w:ascii="仿宋" w:hAnsi="仿宋" w:eastAsia="仿宋" w:cs="仿宋"/>
          <w:sz w:val="32"/>
          <w:szCs w:val="32"/>
          <w:lang w:val="en-US" w:eastAsia="zh-CN"/>
        </w:rPr>
        <w:t>227.73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项目是年初下达资金</w:t>
      </w:r>
      <w:r>
        <w:rPr>
          <w:rFonts w:hint="eastAsia" w:ascii="仿宋" w:hAnsi="仿宋" w:eastAsia="仿宋" w:cs="仿宋"/>
          <w:sz w:val="32"/>
          <w:szCs w:val="32"/>
          <w:lang w:val="en-US" w:eastAsia="zh-CN"/>
        </w:rPr>
        <w:t>227.73万元</w:t>
      </w:r>
      <w:r>
        <w:rPr>
          <w:rFonts w:hint="eastAsia" w:ascii="仿宋" w:hAnsi="仿宋" w:eastAsia="仿宋" w:cs="仿宋"/>
          <w:sz w:val="32"/>
          <w:szCs w:val="32"/>
        </w:rPr>
        <w:t>，</w:t>
      </w:r>
      <w:r>
        <w:rPr>
          <w:rFonts w:hint="eastAsia" w:ascii="仿宋" w:hAnsi="仿宋" w:eastAsia="仿宋" w:cs="仿宋"/>
          <w:sz w:val="32"/>
          <w:szCs w:val="32"/>
          <w:lang w:val="en-US" w:eastAsia="zh-CN"/>
        </w:rPr>
        <w:t>严格按照预算落实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）项目资金使用情况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截止2021年12月31日，综合事务工作经费项目资金年初财政拨款227.73万元</w:t>
      </w:r>
      <w:r>
        <w:rPr>
          <w:rFonts w:hint="eastAsia" w:ascii="仿宋" w:hAnsi="仿宋" w:eastAsia="仿宋" w:cs="仿宋"/>
          <w:sz w:val="32"/>
          <w:szCs w:val="32"/>
        </w:rPr>
        <w:t>，</w:t>
      </w:r>
      <w:r>
        <w:rPr>
          <w:rFonts w:hint="eastAsia" w:ascii="仿宋" w:hAnsi="仿宋" w:eastAsia="仿宋" w:cs="仿宋"/>
          <w:sz w:val="32"/>
          <w:szCs w:val="32"/>
          <w:lang w:val="en-US" w:eastAsia="zh-CN"/>
        </w:rPr>
        <w:t>全年支出195.72万元，年末结余32.01万元，预算执行率85.94%。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0"/>
        <w:rPr>
          <w:rFonts w:hint="eastAsia" w:ascii="仿宋" w:hAnsi="仿宋" w:eastAsia="仿宋" w:cs="仿宋"/>
          <w:b/>
          <w:bCs/>
          <w:color w:val="000000"/>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）项目资金管理情况</w:t>
      </w:r>
      <w:r>
        <w:rPr>
          <w:rFonts w:hint="eastAsia" w:ascii="仿宋" w:hAnsi="仿宋" w:eastAsia="仿宋" w:cs="仿宋"/>
          <w:b/>
          <w:bCs/>
          <w:color w:val="000000"/>
          <w:sz w:val="32"/>
          <w:szCs w:val="32"/>
        </w:rPr>
        <w:t>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796" w:firstLineChars="249"/>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综合事务工作经费项目</w:t>
      </w:r>
      <w:r>
        <w:rPr>
          <w:rFonts w:hint="eastAsia" w:ascii="仿宋" w:hAnsi="仿宋" w:eastAsia="仿宋" w:cs="仿宋"/>
          <w:sz w:val="32"/>
          <w:szCs w:val="32"/>
          <w:lang w:eastAsia="zh-CN"/>
        </w:rPr>
        <w:t>根据《海南省省本级项目支出预算管理办法》规定进行项目申报，按照财务管理制度申请项目资金</w:t>
      </w:r>
      <w:r>
        <w:rPr>
          <w:rFonts w:hint="eastAsia" w:ascii="仿宋" w:hAnsi="仿宋" w:eastAsia="仿宋" w:cs="仿宋"/>
          <w:sz w:val="32"/>
          <w:szCs w:val="32"/>
        </w:rPr>
        <w:t>，</w:t>
      </w:r>
      <w:r>
        <w:rPr>
          <w:rFonts w:hint="eastAsia" w:ascii="仿宋" w:hAnsi="仿宋" w:eastAsia="仿宋" w:cs="仿宋"/>
          <w:sz w:val="32"/>
          <w:szCs w:val="32"/>
          <w:lang w:eastAsia="zh-CN"/>
        </w:rPr>
        <w:t>按照预算用途开支，</w:t>
      </w:r>
      <w:r>
        <w:rPr>
          <w:rFonts w:hint="eastAsia" w:ascii="仿宋" w:hAnsi="仿宋" w:eastAsia="仿宋" w:cs="仿宋"/>
          <w:sz w:val="32"/>
          <w:szCs w:val="32"/>
        </w:rPr>
        <w:t>此次绩效评价未发现有挤占或挪用项目资金的情况。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（一）项目组织情况分析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我单位综合事务工作经费项目属于本单位每年</w:t>
      </w:r>
      <w:r>
        <w:rPr>
          <w:rFonts w:hint="eastAsia" w:ascii="仿宋" w:hAnsi="仿宋" w:eastAsia="仿宋" w:cs="仿宋"/>
          <w:sz w:val="32"/>
          <w:szCs w:val="32"/>
        </w:rPr>
        <w:t>经常性项目，</w:t>
      </w:r>
      <w:r>
        <w:rPr>
          <w:rFonts w:hint="eastAsia" w:ascii="仿宋" w:hAnsi="仿宋" w:eastAsia="仿宋" w:cs="仿宋"/>
          <w:bCs/>
          <w:color w:val="000000"/>
          <w:sz w:val="32"/>
          <w:szCs w:val="32"/>
        </w:rPr>
        <w:t>由本单位</w:t>
      </w:r>
      <w:r>
        <w:rPr>
          <w:rFonts w:hint="eastAsia" w:ascii="仿宋" w:hAnsi="仿宋" w:eastAsia="仿宋" w:cs="仿宋"/>
          <w:bCs/>
          <w:color w:val="000000"/>
          <w:sz w:val="32"/>
          <w:szCs w:val="32"/>
          <w:lang w:eastAsia="zh-CN"/>
        </w:rPr>
        <w:t>根据工作需要</w:t>
      </w:r>
      <w:r>
        <w:rPr>
          <w:rFonts w:hint="eastAsia" w:ascii="仿宋" w:hAnsi="仿宋" w:eastAsia="仿宋" w:cs="仿宋"/>
          <w:bCs/>
          <w:color w:val="000000"/>
          <w:sz w:val="32"/>
          <w:szCs w:val="32"/>
        </w:rPr>
        <w:t>自行组织实施，严格按照</w:t>
      </w:r>
      <w:r>
        <w:rPr>
          <w:rFonts w:hint="eastAsia" w:ascii="仿宋" w:hAnsi="仿宋" w:eastAsia="仿宋" w:cs="仿宋"/>
          <w:i w:val="0"/>
          <w:caps w:val="0"/>
          <w:color w:val="000000"/>
          <w:spacing w:val="0"/>
          <w:sz w:val="32"/>
          <w:szCs w:val="32"/>
          <w:shd w:val="clear" w:fill="FFFFFF"/>
          <w:vertAlign w:val="baseline"/>
        </w:rPr>
        <w:t>《中华人民共和国预算法》</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rPr>
        <w:t>《国务院关于印发推进财政资金统筹使用方案的通知》</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b w:val="0"/>
          <w:bCs w:val="0"/>
          <w:sz w:val="32"/>
          <w:szCs w:val="32"/>
          <w:lang w:val="en-US" w:eastAsia="zh-CN"/>
        </w:rPr>
        <w:t>《海南省省本级项目支出预算管理办法》及县财政相关财务制度</w:t>
      </w:r>
      <w:r>
        <w:rPr>
          <w:rFonts w:hint="eastAsia" w:ascii="仿宋" w:hAnsi="仿宋" w:eastAsia="仿宋" w:cs="仿宋"/>
          <w:bCs/>
          <w:color w:val="000000"/>
          <w:sz w:val="32"/>
          <w:szCs w:val="32"/>
          <w:lang w:eastAsia="zh-CN"/>
        </w:rPr>
        <w:t>进行编制</w:t>
      </w:r>
      <w:r>
        <w:rPr>
          <w:rFonts w:hint="eastAsia" w:ascii="仿宋" w:hAnsi="仿宋" w:eastAsia="仿宋" w:cs="仿宋"/>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（二）项目管理情况分析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bCs/>
          <w:color w:val="000000"/>
          <w:sz w:val="32"/>
          <w:szCs w:val="32"/>
          <w:lang w:eastAsia="zh-CN"/>
        </w:rPr>
      </w:pPr>
      <w:r>
        <w:rPr>
          <w:rFonts w:hint="eastAsia" w:ascii="仿宋" w:hAnsi="仿宋" w:eastAsia="仿宋" w:cs="仿宋"/>
          <w:sz w:val="32"/>
          <w:szCs w:val="32"/>
          <w:lang w:eastAsia="zh-CN"/>
        </w:rPr>
        <w:t>综合事务工作经费项目</w:t>
      </w:r>
      <w:r>
        <w:rPr>
          <w:rFonts w:hint="eastAsia" w:ascii="仿宋" w:hAnsi="仿宋" w:eastAsia="仿宋" w:cs="仿宋"/>
          <w:sz w:val="32"/>
          <w:szCs w:val="32"/>
        </w:rPr>
        <w:t>根据我</w:t>
      </w:r>
      <w:r>
        <w:rPr>
          <w:rFonts w:hint="eastAsia" w:ascii="仿宋" w:hAnsi="仿宋" w:eastAsia="仿宋" w:cs="仿宋"/>
          <w:sz w:val="32"/>
          <w:szCs w:val="32"/>
          <w:lang w:eastAsia="zh-CN"/>
        </w:rPr>
        <w:t>单位日常开展工作的年度工作目标、实际情况和行动方案，申请项目资金，执行有方案。一是按照年度工作计划严格按照</w:t>
      </w:r>
      <w:r>
        <w:rPr>
          <w:rFonts w:hint="eastAsia" w:ascii="仿宋" w:hAnsi="仿宋" w:eastAsia="仿宋" w:cs="仿宋"/>
          <w:b w:val="0"/>
          <w:bCs w:val="0"/>
          <w:sz w:val="32"/>
          <w:szCs w:val="32"/>
          <w:lang w:val="en-US" w:eastAsia="zh-CN"/>
        </w:rPr>
        <w:t>《海南省省本级项目支出预算管理办法》和县财政相关财务制度支出；二是严格</w:t>
      </w:r>
      <w:r>
        <w:rPr>
          <w:rFonts w:hint="eastAsia" w:ascii="仿宋" w:hAnsi="仿宋" w:eastAsia="仿宋" w:cs="仿宋"/>
          <w:sz w:val="32"/>
          <w:szCs w:val="32"/>
          <w:lang w:eastAsia="zh-CN"/>
        </w:rPr>
        <w:t>落实三重一大制度，按照时间节点报帐和报送项目支出进度；三是项目严格按照财务管理制度要求执行，做到了资金专款专用，资金的拨付由完整的审批程序和手续，符合项目预算和规定用途。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四、项目绩效情况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（一）项目绩效目标完成情况分析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796" w:firstLineChars="249"/>
        <w:textAlignment w:val="auto"/>
        <w:rPr>
          <w:rFonts w:hint="eastAsia" w:ascii="仿宋" w:hAnsi="仿宋" w:eastAsia="仿宋" w:cs="仿宋"/>
          <w:sz w:val="32"/>
          <w:szCs w:val="32"/>
        </w:rPr>
      </w:pPr>
      <w:r>
        <w:rPr>
          <w:rFonts w:hint="eastAsia" w:ascii="仿宋" w:hAnsi="仿宋" w:eastAsia="仿宋" w:cs="仿宋"/>
          <w:sz w:val="32"/>
          <w:szCs w:val="32"/>
        </w:rPr>
        <w:t>1、项目的经济性分析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综合事务经费项目投入</w:t>
      </w:r>
      <w:r>
        <w:rPr>
          <w:rFonts w:hint="eastAsia" w:ascii="仿宋" w:hAnsi="仿宋" w:eastAsia="仿宋" w:cs="仿宋"/>
          <w:sz w:val="32"/>
          <w:szCs w:val="32"/>
          <w:lang w:val="en-US" w:eastAsia="zh-CN"/>
        </w:rPr>
        <w:t>227.73</w:t>
      </w:r>
      <w:r>
        <w:rPr>
          <w:rFonts w:hint="eastAsia" w:ascii="仿宋" w:hAnsi="仿宋" w:eastAsia="仿宋" w:cs="仿宋"/>
          <w:sz w:val="32"/>
          <w:szCs w:val="32"/>
        </w:rPr>
        <w:t>万元，用于</w:t>
      </w:r>
      <w:r>
        <w:rPr>
          <w:rFonts w:hint="eastAsia" w:ascii="仿宋" w:hAnsi="仿宋" w:eastAsia="仿宋" w:cs="仿宋"/>
          <w:sz w:val="32"/>
          <w:szCs w:val="32"/>
          <w:lang w:eastAsia="zh-CN"/>
        </w:rPr>
        <w:t>开展</w:t>
      </w:r>
      <w:r>
        <w:rPr>
          <w:rFonts w:hint="eastAsia" w:ascii="仿宋" w:hAnsi="仿宋" w:eastAsia="仿宋" w:cs="仿宋"/>
          <w:sz w:val="32"/>
          <w:szCs w:val="32"/>
          <w:lang w:val="en-US" w:eastAsia="zh-CN"/>
        </w:rPr>
        <w:t>2021年度单位日常工作，实际支出195.72万元，预算执行率85.94%，节约预算成本32.01万元。预算支出主要有以下几方面：</w:t>
      </w:r>
      <w:r>
        <w:rPr>
          <w:rFonts w:hint="eastAsia" w:ascii="仿宋" w:hAnsi="仿宋" w:eastAsia="仿宋" w:cs="仿宋"/>
          <w:sz w:val="32"/>
          <w:szCs w:val="32"/>
          <w:lang w:eastAsia="zh-CN"/>
        </w:rPr>
        <w:t>一是支付职工工资、劳务费支出、职工社保缴纳；二是购买各种办公用品、耗材、支付印刷费和水电费、公务接待、误餐及差旅费；三是组织开展业务培训以及开展各项业务工作经费支出等。本项目资金支出预计执行率未达到年度目标值的</w:t>
      </w:r>
      <w:r>
        <w:rPr>
          <w:rFonts w:hint="eastAsia" w:ascii="仿宋" w:hAnsi="仿宋" w:eastAsia="仿宋" w:cs="仿宋"/>
          <w:sz w:val="32"/>
          <w:szCs w:val="32"/>
          <w:lang w:val="en-US" w:eastAsia="zh-CN"/>
        </w:rPr>
        <w:t>95%及以上，其主要偏差原因一是人员调出、离职工资及劳务费支出减少；二是受疫情影响开展业务培训次数减少，业务培训费支出下降；三是压缩工作经费支出，办公耗材、印刷费、邮电费等支出减少。项目支出严格按照相关财务制度支出，</w:t>
      </w:r>
      <w:r>
        <w:rPr>
          <w:rFonts w:hint="eastAsia" w:ascii="仿宋" w:hAnsi="仿宋" w:eastAsia="仿宋" w:cs="仿宋"/>
          <w:sz w:val="32"/>
          <w:szCs w:val="32"/>
        </w:rPr>
        <w:t>符合项目预算规定，没有超支与挪用现象。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项目的效率性分析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（1）项目的实施进度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项目严格按照县委、县政府的工作部署，结合本单位年度目标、工作方案推进。项目工作开展顺畅，效率高，成效好。项目经费支出按财务管理制度合法规范支出，根据实际发生的费用进行报帐，每月落实支出进度上报工作，于年底顺利完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项目完成质量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本项目严格按照</w:t>
      </w:r>
      <w:r>
        <w:rPr>
          <w:rFonts w:hint="eastAsia" w:ascii="仿宋" w:hAnsi="仿宋" w:eastAsia="仿宋" w:cs="仿宋"/>
          <w:b w:val="0"/>
          <w:bCs w:val="0"/>
          <w:sz w:val="32"/>
          <w:szCs w:val="32"/>
          <w:lang w:val="en-US" w:eastAsia="zh-CN"/>
        </w:rPr>
        <w:t>《海南省省本级项目支出预算管理办法》和县财政相关财务制度、</w:t>
      </w:r>
      <w:r>
        <w:rPr>
          <w:rFonts w:hint="eastAsia" w:ascii="仿宋" w:hAnsi="仿宋" w:eastAsia="仿宋" w:cs="仿宋"/>
          <w:sz w:val="32"/>
          <w:szCs w:val="32"/>
          <w:lang w:eastAsia="zh-CN"/>
        </w:rPr>
        <w:t>三重一大制度支出，按照时间节点报帐和报送项目支出进度，做到了资金专款专用，资金的拨付有完整的审批程序，符合项目预算和规定用途，保质保量完成。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项目的效益性分析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项目预期目标完成程度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综合事务经费</w:t>
      </w:r>
      <w:r>
        <w:rPr>
          <w:rFonts w:hint="eastAsia" w:ascii="仿宋" w:hAnsi="仿宋" w:eastAsia="仿宋" w:cs="仿宋"/>
          <w:sz w:val="32"/>
          <w:szCs w:val="32"/>
        </w:rPr>
        <w:t>项目按照</w:t>
      </w:r>
      <w:r>
        <w:rPr>
          <w:rFonts w:hint="eastAsia" w:ascii="仿宋" w:hAnsi="仿宋" w:eastAsia="仿宋" w:cs="仿宋"/>
          <w:sz w:val="32"/>
          <w:szCs w:val="32"/>
          <w:lang w:val="en-US" w:eastAsia="zh-CN"/>
        </w:rPr>
        <w:t>2021年度工作目标、实施方案，</w:t>
      </w:r>
      <w:r>
        <w:rPr>
          <w:rFonts w:hint="eastAsia" w:ascii="仿宋" w:hAnsi="仿宋" w:eastAsia="仿宋" w:cs="仿宋"/>
          <w:sz w:val="32"/>
          <w:szCs w:val="32"/>
        </w:rPr>
        <w:t>有计划、有步骤稳妥实施，</w:t>
      </w:r>
      <w:r>
        <w:rPr>
          <w:rFonts w:hint="eastAsia" w:ascii="仿宋" w:hAnsi="仿宋" w:eastAsia="仿宋" w:cs="仿宋"/>
          <w:sz w:val="32"/>
          <w:szCs w:val="32"/>
          <w:lang w:eastAsia="zh-CN"/>
        </w:rPr>
        <w:t>基本上已达到预期目的。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项目实施对社会的影响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项目的实行有效的确保了我单位的正常运转，贯彻落实了党中央国务院、省委省政府、县委县政府的相关政策，切实有效的保证了我单位各项社会保险工作的开展，保障了各参保人员的权益，促进了社会保险事业的良性发展，有利的维护社会了社会稳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项目的可持续性分析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w:t>
      </w:r>
      <w:r>
        <w:rPr>
          <w:rFonts w:hint="eastAsia" w:ascii="仿宋" w:hAnsi="仿宋" w:eastAsia="仿宋" w:cs="仿宋"/>
          <w:sz w:val="32"/>
          <w:szCs w:val="32"/>
        </w:rPr>
        <w:t>项目的实施，</w:t>
      </w:r>
      <w:r>
        <w:rPr>
          <w:rFonts w:hint="eastAsia" w:ascii="仿宋" w:hAnsi="仿宋" w:eastAsia="仿宋" w:cs="仿宋"/>
          <w:sz w:val="32"/>
          <w:szCs w:val="32"/>
          <w:lang w:eastAsia="zh-CN"/>
        </w:rPr>
        <w:t>切实有效的保证了我单位各项社会保险工作的开展，保障了各参保人员的权益，促进了社会保险事业的良性发展，有利的维护社会了社会稳定，是可持续的。</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560" w:lineRule="exact"/>
        <w:ind w:right="0" w:rightChars="0" w:firstLine="640" w:firstLineChars="200"/>
        <w:textAlignment w:val="auto"/>
        <w:outlineLvl w:val="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项目预算批复的绩效指标完成情况分析</w:t>
      </w:r>
    </w:p>
    <w:p>
      <w:pPr>
        <w:pStyle w:val="2"/>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）预算执行率</w:t>
      </w:r>
    </w:p>
    <w:p>
      <w:pPr>
        <w:pStyle w:val="2"/>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综合事务经费项目投入</w:t>
      </w:r>
      <w:r>
        <w:rPr>
          <w:rFonts w:hint="eastAsia" w:ascii="仿宋" w:hAnsi="仿宋" w:eastAsia="仿宋" w:cs="仿宋"/>
          <w:sz w:val="32"/>
          <w:szCs w:val="32"/>
          <w:lang w:val="en-US" w:eastAsia="zh-CN"/>
        </w:rPr>
        <w:t>227.73</w:t>
      </w:r>
      <w:r>
        <w:rPr>
          <w:rFonts w:hint="eastAsia" w:ascii="仿宋" w:hAnsi="仿宋" w:eastAsia="仿宋" w:cs="仿宋"/>
          <w:sz w:val="32"/>
          <w:szCs w:val="32"/>
        </w:rPr>
        <w:t>万元，</w:t>
      </w:r>
      <w:r>
        <w:rPr>
          <w:rFonts w:hint="eastAsia" w:ascii="仿宋" w:hAnsi="仿宋" w:eastAsia="仿宋" w:cs="仿宋"/>
          <w:sz w:val="32"/>
          <w:szCs w:val="32"/>
          <w:lang w:val="en-US" w:eastAsia="zh-CN"/>
        </w:rPr>
        <w:t>实际支出195.72万元，预算执行率85.94%，本指标满分10分，得8.59分。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）产出</w:t>
      </w:r>
      <w:r>
        <w:rPr>
          <w:rFonts w:hint="eastAsia" w:ascii="仿宋" w:hAnsi="仿宋" w:eastAsia="仿宋" w:cs="仿宋"/>
          <w:b w:val="0"/>
          <w:bCs/>
          <w:sz w:val="32"/>
          <w:szCs w:val="32"/>
        </w:rPr>
        <w:t>指标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A、数量指标：本项目“数量指标”主要通过“工资及劳务费支出完成率”、“培训费、公务接待费支出完成率”和“日常办公用品、耗材等支出完成率”来进行绩效评价，满分26分，得分19.89分。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w:t>
      </w:r>
      <w:r>
        <w:rPr>
          <w:rFonts w:hint="eastAsia" w:ascii="仿宋" w:hAnsi="仿宋" w:eastAsia="仿宋" w:cs="仿宋"/>
          <w:b w:val="0"/>
          <w:bCs/>
          <w:sz w:val="32"/>
          <w:szCs w:val="32"/>
          <w:lang w:eastAsia="zh-CN"/>
        </w:rPr>
        <w:t>质量</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本指标主要从业务开展工作取得的成效来进行考评，根据我单位</w:t>
      </w:r>
      <w:r>
        <w:rPr>
          <w:rFonts w:hint="eastAsia" w:ascii="仿宋" w:hAnsi="仿宋" w:eastAsia="仿宋" w:cs="仿宋"/>
          <w:b w:val="0"/>
          <w:bCs/>
          <w:sz w:val="32"/>
          <w:szCs w:val="32"/>
          <w:lang w:val="en-US" w:eastAsia="zh-CN"/>
        </w:rPr>
        <w:t>2021年开展工作取得的成效来看，各项工作顺利推进，保质保量完成年度工作目标，所以本指标满分12分，得12分。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C、</w:t>
      </w:r>
      <w:r>
        <w:rPr>
          <w:rFonts w:hint="eastAsia" w:ascii="仿宋" w:hAnsi="仿宋" w:eastAsia="仿宋" w:cs="仿宋"/>
          <w:b w:val="0"/>
          <w:bCs/>
          <w:sz w:val="32"/>
          <w:szCs w:val="32"/>
          <w:lang w:eastAsia="zh-CN"/>
        </w:rPr>
        <w:t>时效</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本指标主要根据我单位综合事务经费各项支出的进度、报帐及时性进行评价。</w:t>
      </w:r>
      <w:r>
        <w:rPr>
          <w:rFonts w:hint="eastAsia" w:ascii="仿宋" w:hAnsi="仿宋" w:eastAsia="仿宋" w:cs="仿宋"/>
          <w:b w:val="0"/>
          <w:bCs/>
          <w:sz w:val="32"/>
          <w:szCs w:val="32"/>
          <w:lang w:val="en-US" w:eastAsia="zh-CN"/>
        </w:rPr>
        <w:t>2021年度我单位本项目单位每月支出进度都按时完成，支出比较及时，所以本指标满分12分，得12分。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rPr>
      </w:pPr>
      <w:r>
        <w:rPr>
          <w:rFonts w:hint="eastAsia" w:ascii="仿宋" w:hAnsi="仿宋" w:eastAsia="仿宋" w:cs="仿宋"/>
          <w:b w:val="0"/>
          <w:bCs/>
          <w:sz w:val="32"/>
          <w:szCs w:val="32"/>
          <w:lang w:val="en-US" w:eastAsia="zh-CN"/>
        </w:rPr>
        <w:t>（3）效益指标</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A、社会效益指标：本指标主要根据社会群众满意度来进行评价，为了更加客观的对本指标进行评价，评价小组随机抽取了部分群众对我单位工作服务情况进行评价，群众满意度达95%以上，所以本指标满分15分，得15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可持续指标：本指标主要根据本单位此项目开展取得的成果及影响来进行评价。我单位是窗口经办部门，社会保险经办工作涉及到每一位参保人的利益，确保单位工作的日常开展有利于社会保险事业的健康良性发展，所以此项工作是可持续的，本指标满分15分，得15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满意度指标：本指标主要是以“受益对象满意度”来作为绩效评价标准。“受益对象”主要本单位职工、各参保单位和参保人员为主，评价小组主要是通过随机抽取问卷调查方式来和日常业务经办服务满意度来考评，满意度达</w:t>
      </w:r>
      <w:r>
        <w:rPr>
          <w:rFonts w:hint="eastAsia" w:ascii="仿宋" w:hAnsi="仿宋" w:eastAsia="仿宋" w:cs="仿宋"/>
          <w:b w:val="0"/>
          <w:bCs/>
          <w:sz w:val="32"/>
          <w:szCs w:val="32"/>
          <w:lang w:val="en-US" w:eastAsia="zh-CN"/>
        </w:rPr>
        <w:t>95%，所以本指标满分10分，得10分。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）项目绩效目标</w:t>
      </w:r>
      <w:r>
        <w:rPr>
          <w:rFonts w:hint="eastAsia" w:ascii="仿宋" w:hAnsi="仿宋" w:eastAsia="仿宋" w:cs="仿宋"/>
          <w:b/>
          <w:bCs w:val="0"/>
          <w:sz w:val="32"/>
          <w:szCs w:val="32"/>
          <w:lang w:eastAsia="zh-CN"/>
        </w:rPr>
        <w:t>偏差原因分析及改进措施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1、项目绩效目标偏差原因</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lang w:val="en-US" w:eastAsia="zh-CN"/>
        </w:rPr>
        <w:t>综合事务工作经费项目绩效目标未完成的主要是“数量指标”未达到预算支出完成率的95%，其主要原因：</w:t>
      </w:r>
      <w:r>
        <w:rPr>
          <w:rFonts w:hint="eastAsia" w:ascii="仿宋" w:hAnsi="仿宋" w:eastAsia="仿宋" w:cs="仿宋"/>
          <w:sz w:val="32"/>
          <w:szCs w:val="32"/>
          <w:lang w:val="en-US" w:eastAsia="zh-CN"/>
        </w:rPr>
        <w:t>一是人员调出、离职造成工资及劳务费支出；二是受疫情影响，举办业务培训次数减少，市县业务交流减少，所以培训费、公务接待费支出减少；三是为了控制成本，压缩经费支出，印刷费、办公耗材支出减少，所以各项指标支出完成率不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2、项目绩效目标偏差改进措施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加强我单位财政支出项目经费预算管理，根据综合事务项目经费支出存在偏差原因进行分析，我单位将从以下几方面进行改进：一是加强对部门经费年度预算的管理，精准把控岗位人员工资情况和人员流动管理；二是合理开展业务培训工作，提高资金的使用效率；三是要加强对办公耗材、日常办公经费的管理，及时支出。</w:t>
      </w:r>
    </w:p>
    <w:p>
      <w:pPr>
        <w:keepNext w:val="0"/>
        <w:keepLines w:val="0"/>
        <w:pageBreakBefore w:val="0"/>
        <w:widowControl w:val="0"/>
        <w:tabs>
          <w:tab w:val="left" w:pos="900"/>
          <w:tab w:val="left" w:pos="1080"/>
        </w:tabs>
        <w:kinsoku/>
        <w:wordWrap/>
        <w:overflowPunct/>
        <w:topLinePunct w:val="0"/>
        <w:autoSpaceDE/>
        <w:autoSpaceDN/>
        <w:bidi w:val="0"/>
        <w:adjustRightInd/>
        <w:snapToGrid/>
        <w:spacing w:line="560" w:lineRule="exact"/>
        <w:ind w:right="0" w:firstLine="643" w:firstLineChars="200"/>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五、综合评价情况及评价结论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综合上述各项指标评价结果，我单位综合事务经费</w:t>
      </w:r>
      <w:r>
        <w:rPr>
          <w:rFonts w:hint="eastAsia" w:ascii="仿宋" w:hAnsi="仿宋" w:eastAsia="仿宋" w:cs="仿宋"/>
          <w:b w:val="0"/>
          <w:bCs/>
          <w:sz w:val="32"/>
          <w:szCs w:val="32"/>
        </w:rPr>
        <w:t>项目</w:t>
      </w:r>
      <w:r>
        <w:rPr>
          <w:rFonts w:hint="eastAsia" w:ascii="仿宋" w:hAnsi="仿宋" w:eastAsia="仿宋" w:cs="仿宋"/>
          <w:b w:val="0"/>
          <w:bCs/>
          <w:sz w:val="32"/>
          <w:szCs w:val="32"/>
          <w:lang w:eastAsia="zh-CN"/>
        </w:rPr>
        <w:t>总评价得分</w:t>
      </w:r>
      <w:r>
        <w:rPr>
          <w:rFonts w:hint="eastAsia" w:ascii="仿宋" w:hAnsi="仿宋" w:eastAsia="仿宋" w:cs="仿宋"/>
          <w:b w:val="0"/>
          <w:bCs/>
          <w:sz w:val="32"/>
          <w:szCs w:val="32"/>
          <w:lang w:val="en-US" w:eastAsia="zh-CN"/>
        </w:rPr>
        <w:t>92.48分，根据《保亭黎族苗族自治县2021年财政支出项目绩效自评工作方案》相关政策，本项目绩效级别评定为“优”。</w:t>
      </w:r>
      <w:r>
        <w:rPr>
          <w:rFonts w:hint="eastAsia" w:ascii="仿宋" w:hAnsi="仿宋" w:eastAsia="仿宋" w:cs="仿宋"/>
          <w:sz w:val="32"/>
          <w:szCs w:val="32"/>
        </w:rPr>
        <w:t>绩效评价结束后，</w:t>
      </w:r>
      <w:r>
        <w:rPr>
          <w:rFonts w:hint="eastAsia" w:ascii="仿宋" w:hAnsi="仿宋" w:eastAsia="仿宋" w:cs="仿宋"/>
          <w:sz w:val="32"/>
          <w:szCs w:val="32"/>
          <w:lang w:eastAsia="zh-CN"/>
        </w:rPr>
        <w:t>我单位</w:t>
      </w:r>
      <w:r>
        <w:rPr>
          <w:rFonts w:hint="eastAsia" w:ascii="仿宋" w:hAnsi="仿宋" w:eastAsia="仿宋" w:cs="仿宋"/>
          <w:sz w:val="32"/>
          <w:szCs w:val="32"/>
        </w:rPr>
        <w:t>将</w:t>
      </w:r>
      <w:r>
        <w:rPr>
          <w:rFonts w:hint="eastAsia" w:ascii="仿宋" w:hAnsi="仿宋" w:eastAsia="仿宋" w:cs="仿宋"/>
          <w:sz w:val="32"/>
          <w:szCs w:val="32"/>
          <w:lang w:eastAsia="zh-CN"/>
        </w:rPr>
        <w:t>根据此次</w:t>
      </w:r>
      <w:r>
        <w:rPr>
          <w:rFonts w:hint="eastAsia" w:ascii="仿宋" w:hAnsi="仿宋" w:eastAsia="仿宋" w:cs="仿宋"/>
          <w:sz w:val="32"/>
          <w:szCs w:val="32"/>
        </w:rPr>
        <w:t>自评项目绩效结果</w:t>
      </w:r>
      <w:r>
        <w:rPr>
          <w:rFonts w:hint="eastAsia" w:ascii="仿宋" w:hAnsi="仿宋" w:eastAsia="仿宋" w:cs="仿宋"/>
          <w:sz w:val="32"/>
          <w:szCs w:val="32"/>
          <w:lang w:eastAsia="zh-CN"/>
        </w:rPr>
        <w:t>发现存在的</w:t>
      </w:r>
      <w:r>
        <w:rPr>
          <w:rFonts w:hint="eastAsia" w:ascii="仿宋" w:hAnsi="仿宋" w:eastAsia="仿宋" w:cs="仿宋"/>
          <w:sz w:val="32"/>
          <w:szCs w:val="32"/>
        </w:rPr>
        <w:t>问题及时落实整改，</w:t>
      </w:r>
      <w:r>
        <w:rPr>
          <w:rFonts w:hint="eastAsia" w:ascii="仿宋" w:hAnsi="仿宋" w:eastAsia="仿宋" w:cs="仿宋"/>
          <w:sz w:val="32"/>
          <w:szCs w:val="32"/>
          <w:lang w:eastAsia="zh-CN"/>
        </w:rPr>
        <w:t>加强资金的预算管理，提高资金的使用效率，</w:t>
      </w:r>
      <w:r>
        <w:rPr>
          <w:rFonts w:hint="eastAsia" w:ascii="仿宋" w:hAnsi="仿宋" w:eastAsia="仿宋" w:cs="仿宋"/>
          <w:sz w:val="32"/>
          <w:szCs w:val="32"/>
        </w:rPr>
        <w:t>充分发挥绩效评价在促进项目管理、总结完善制度办法、合理调整资源配置的积极作用。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w:t>
      </w:r>
      <w:r>
        <w:rPr>
          <w:rFonts w:hint="eastAsia" w:ascii="仿宋" w:hAnsi="仿宋" w:eastAsia="仿宋" w:cs="仿宋"/>
          <w:sz w:val="32"/>
          <w:szCs w:val="32"/>
        </w:rPr>
        <w:t>项目绩效自评结果用于上报县财政局，通过县财政局向县委、县政府汇报结果并公开。</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综合事务经费项目支出</w:t>
      </w:r>
      <w:r>
        <w:rPr>
          <w:rFonts w:hint="eastAsia" w:ascii="仿宋" w:hAnsi="仿宋" w:eastAsia="仿宋" w:cs="仿宋"/>
          <w:sz w:val="32"/>
          <w:szCs w:val="32"/>
        </w:rPr>
        <w:t>绩效目标自评表</w:t>
      </w: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保亭黎族苗族自治县社会保险服务中心</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Theme="minorEastAsia" w:hAnsiTheme="minorEastAsia" w:eastAsiaTheme="minorEastAsia" w:cstheme="minorEastAsia"/>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pStyle w:val="2"/>
        <w:jc w:val="righ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b w:val="0"/>
          <w:bCs/>
          <w:lang w:val="en-US" w:eastAsia="zh-CN"/>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b w:val="0"/>
          <w:bCs/>
        </w:rPr>
      </w:pPr>
    </w:p>
    <w:p>
      <w:pPr>
        <w:keepNext w:val="0"/>
        <w:keepLines w:val="0"/>
        <w:pageBreakBefore w:val="0"/>
        <w:kinsoku/>
        <w:wordWrap/>
        <w:overflowPunct/>
        <w:topLinePunct w:val="0"/>
        <w:autoSpaceDE/>
        <w:bidi w:val="0"/>
        <w:spacing w:line="600" w:lineRule="exact"/>
        <w:rPr>
          <w:rFonts w:hint="eastAsia"/>
          <w:b/>
          <w:bCs/>
        </w:rPr>
      </w:pPr>
    </w:p>
    <w:sectPr>
      <w:headerReference r:id="rId3" w:type="default"/>
      <w:footerReference r:id="rId5" w:type="default"/>
      <w:headerReference r:id="rId4" w:type="even"/>
      <w:footerReference r:id="rId6" w:type="even"/>
      <w:pgSz w:w="11906" w:h="16838"/>
      <w:pgMar w:top="1701" w:right="1587" w:bottom="1474" w:left="1587" w:header="851" w:footer="964"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20 -</w:t>
    </w:r>
    <w:r>
      <w:rPr>
        <w:rFonts w:hint="eastAsia" w:ascii="仿宋_GB2312" w:eastAsia="仿宋_GB2312"/>
        <w:sz w:val="28"/>
        <w:szCs w:val="28"/>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223D9"/>
    <w:rsid w:val="000223D9"/>
    <w:rsid w:val="000573FC"/>
    <w:rsid w:val="001715A0"/>
    <w:rsid w:val="001B043F"/>
    <w:rsid w:val="00226ECF"/>
    <w:rsid w:val="00372EF4"/>
    <w:rsid w:val="00380101"/>
    <w:rsid w:val="003874E4"/>
    <w:rsid w:val="004279E3"/>
    <w:rsid w:val="00434457"/>
    <w:rsid w:val="004B4462"/>
    <w:rsid w:val="0055204B"/>
    <w:rsid w:val="0058477E"/>
    <w:rsid w:val="005B2198"/>
    <w:rsid w:val="00695C99"/>
    <w:rsid w:val="00741102"/>
    <w:rsid w:val="007A6A9E"/>
    <w:rsid w:val="007C2FB2"/>
    <w:rsid w:val="008234FD"/>
    <w:rsid w:val="0087119A"/>
    <w:rsid w:val="00881362"/>
    <w:rsid w:val="0089349E"/>
    <w:rsid w:val="009B2DB0"/>
    <w:rsid w:val="00B82092"/>
    <w:rsid w:val="00BF2380"/>
    <w:rsid w:val="00C72BC0"/>
    <w:rsid w:val="00CA1E7B"/>
    <w:rsid w:val="00CA5BD2"/>
    <w:rsid w:val="00CC51E2"/>
    <w:rsid w:val="00DC329C"/>
    <w:rsid w:val="00E3440D"/>
    <w:rsid w:val="00E426D3"/>
    <w:rsid w:val="00F80B4A"/>
    <w:rsid w:val="00F87FF3"/>
    <w:rsid w:val="00FB2B22"/>
    <w:rsid w:val="00FD094B"/>
    <w:rsid w:val="01E2174C"/>
    <w:rsid w:val="02245D5F"/>
    <w:rsid w:val="02373207"/>
    <w:rsid w:val="027D62E1"/>
    <w:rsid w:val="031D5F92"/>
    <w:rsid w:val="0334085A"/>
    <w:rsid w:val="033F64D3"/>
    <w:rsid w:val="036D5447"/>
    <w:rsid w:val="03F75A07"/>
    <w:rsid w:val="04E70119"/>
    <w:rsid w:val="050F4F8C"/>
    <w:rsid w:val="05A47FE3"/>
    <w:rsid w:val="05B15512"/>
    <w:rsid w:val="06717F4D"/>
    <w:rsid w:val="06A46A09"/>
    <w:rsid w:val="08B53CDE"/>
    <w:rsid w:val="093515CA"/>
    <w:rsid w:val="093E07B8"/>
    <w:rsid w:val="09F20F8A"/>
    <w:rsid w:val="0A1B5E44"/>
    <w:rsid w:val="0CB44B5C"/>
    <w:rsid w:val="0D981131"/>
    <w:rsid w:val="0D9B1F8F"/>
    <w:rsid w:val="0F672C64"/>
    <w:rsid w:val="0F9C44BD"/>
    <w:rsid w:val="0FFB58F8"/>
    <w:rsid w:val="10905B30"/>
    <w:rsid w:val="10BA4EDF"/>
    <w:rsid w:val="10BE5F95"/>
    <w:rsid w:val="11AB42AA"/>
    <w:rsid w:val="11F10FCC"/>
    <w:rsid w:val="127C5AE2"/>
    <w:rsid w:val="142B3FB4"/>
    <w:rsid w:val="144C0CD1"/>
    <w:rsid w:val="14577694"/>
    <w:rsid w:val="14BF1211"/>
    <w:rsid w:val="151A1F9F"/>
    <w:rsid w:val="15555FC0"/>
    <w:rsid w:val="157546A7"/>
    <w:rsid w:val="1863501E"/>
    <w:rsid w:val="18EF4C19"/>
    <w:rsid w:val="18F64521"/>
    <w:rsid w:val="19042560"/>
    <w:rsid w:val="19121362"/>
    <w:rsid w:val="193B191F"/>
    <w:rsid w:val="19737A5E"/>
    <w:rsid w:val="19982317"/>
    <w:rsid w:val="19B55493"/>
    <w:rsid w:val="1A357EE5"/>
    <w:rsid w:val="1A463AEF"/>
    <w:rsid w:val="1A642C69"/>
    <w:rsid w:val="1AE7714C"/>
    <w:rsid w:val="1B196EB1"/>
    <w:rsid w:val="1B254124"/>
    <w:rsid w:val="1B60499F"/>
    <w:rsid w:val="1BF96ECB"/>
    <w:rsid w:val="1C79174E"/>
    <w:rsid w:val="1C9306F5"/>
    <w:rsid w:val="1CD34CD9"/>
    <w:rsid w:val="1CEE72BC"/>
    <w:rsid w:val="1D013E78"/>
    <w:rsid w:val="1D1966B9"/>
    <w:rsid w:val="1E196A9B"/>
    <w:rsid w:val="1E35070B"/>
    <w:rsid w:val="1ED36193"/>
    <w:rsid w:val="1EFB78C1"/>
    <w:rsid w:val="1FA75C23"/>
    <w:rsid w:val="1FB62487"/>
    <w:rsid w:val="20230D50"/>
    <w:rsid w:val="20DA7E18"/>
    <w:rsid w:val="21E406C0"/>
    <w:rsid w:val="228D6792"/>
    <w:rsid w:val="229A488D"/>
    <w:rsid w:val="239404D2"/>
    <w:rsid w:val="23C25CF6"/>
    <w:rsid w:val="247B506A"/>
    <w:rsid w:val="24827285"/>
    <w:rsid w:val="25942FEE"/>
    <w:rsid w:val="260A1352"/>
    <w:rsid w:val="26E2371C"/>
    <w:rsid w:val="275A752D"/>
    <w:rsid w:val="27A12F7C"/>
    <w:rsid w:val="28E85E0E"/>
    <w:rsid w:val="29E71AE2"/>
    <w:rsid w:val="2A650752"/>
    <w:rsid w:val="2AC251C4"/>
    <w:rsid w:val="2B9A2E59"/>
    <w:rsid w:val="2DDA0EA0"/>
    <w:rsid w:val="2DE84BB7"/>
    <w:rsid w:val="2E334B0D"/>
    <w:rsid w:val="2E485B2D"/>
    <w:rsid w:val="2F433BA8"/>
    <w:rsid w:val="2FD735FA"/>
    <w:rsid w:val="3074032B"/>
    <w:rsid w:val="30835938"/>
    <w:rsid w:val="30D70D0F"/>
    <w:rsid w:val="30EC642A"/>
    <w:rsid w:val="313504D1"/>
    <w:rsid w:val="31775090"/>
    <w:rsid w:val="32664740"/>
    <w:rsid w:val="32787731"/>
    <w:rsid w:val="3407627C"/>
    <w:rsid w:val="345B6431"/>
    <w:rsid w:val="352C22A0"/>
    <w:rsid w:val="359C14A1"/>
    <w:rsid w:val="3603307F"/>
    <w:rsid w:val="369A100A"/>
    <w:rsid w:val="36C44636"/>
    <w:rsid w:val="37572250"/>
    <w:rsid w:val="37C0113C"/>
    <w:rsid w:val="382B1402"/>
    <w:rsid w:val="385B0B55"/>
    <w:rsid w:val="3A415658"/>
    <w:rsid w:val="3A9D300D"/>
    <w:rsid w:val="3B1E632F"/>
    <w:rsid w:val="3B6C1927"/>
    <w:rsid w:val="3B7F51F1"/>
    <w:rsid w:val="3BBE3A3F"/>
    <w:rsid w:val="3C645057"/>
    <w:rsid w:val="3CCD3003"/>
    <w:rsid w:val="3D401208"/>
    <w:rsid w:val="3E1E1E52"/>
    <w:rsid w:val="3E2A590C"/>
    <w:rsid w:val="3E8E51C8"/>
    <w:rsid w:val="3EE04C99"/>
    <w:rsid w:val="3FCB2704"/>
    <w:rsid w:val="40085604"/>
    <w:rsid w:val="4037068E"/>
    <w:rsid w:val="408769AA"/>
    <w:rsid w:val="40AF011F"/>
    <w:rsid w:val="419670F0"/>
    <w:rsid w:val="426452D7"/>
    <w:rsid w:val="42D11DF7"/>
    <w:rsid w:val="43137FDF"/>
    <w:rsid w:val="43F67328"/>
    <w:rsid w:val="44043364"/>
    <w:rsid w:val="453723D4"/>
    <w:rsid w:val="45E61A04"/>
    <w:rsid w:val="463B7A84"/>
    <w:rsid w:val="46407D06"/>
    <w:rsid w:val="464B6965"/>
    <w:rsid w:val="46742FE3"/>
    <w:rsid w:val="469E6980"/>
    <w:rsid w:val="46B057EA"/>
    <w:rsid w:val="46BD59BF"/>
    <w:rsid w:val="470458E5"/>
    <w:rsid w:val="471E428D"/>
    <w:rsid w:val="473347ED"/>
    <w:rsid w:val="48473466"/>
    <w:rsid w:val="48CE5E64"/>
    <w:rsid w:val="490C3DD5"/>
    <w:rsid w:val="492148DA"/>
    <w:rsid w:val="49BF00D2"/>
    <w:rsid w:val="4A244CE7"/>
    <w:rsid w:val="4A9D051A"/>
    <w:rsid w:val="4AA9478A"/>
    <w:rsid w:val="4BD930DC"/>
    <w:rsid w:val="4C066E11"/>
    <w:rsid w:val="4C3B59D0"/>
    <w:rsid w:val="4C636148"/>
    <w:rsid w:val="4CA95DDF"/>
    <w:rsid w:val="4EAD0B11"/>
    <w:rsid w:val="4EFB2C78"/>
    <w:rsid w:val="4FD26484"/>
    <w:rsid w:val="50C2074C"/>
    <w:rsid w:val="50E926CF"/>
    <w:rsid w:val="50FA7F29"/>
    <w:rsid w:val="516D5088"/>
    <w:rsid w:val="518F1700"/>
    <w:rsid w:val="519D7B76"/>
    <w:rsid w:val="51A8376D"/>
    <w:rsid w:val="528E767F"/>
    <w:rsid w:val="534E1378"/>
    <w:rsid w:val="537E4FC1"/>
    <w:rsid w:val="53967352"/>
    <w:rsid w:val="5455615E"/>
    <w:rsid w:val="54690427"/>
    <w:rsid w:val="54DA374C"/>
    <w:rsid w:val="55CB3960"/>
    <w:rsid w:val="55E45574"/>
    <w:rsid w:val="55F40645"/>
    <w:rsid w:val="56474C29"/>
    <w:rsid w:val="56A9137B"/>
    <w:rsid w:val="56F01DD1"/>
    <w:rsid w:val="572A3340"/>
    <w:rsid w:val="57925A39"/>
    <w:rsid w:val="57AA581A"/>
    <w:rsid w:val="57CB5AE9"/>
    <w:rsid w:val="57D85EC7"/>
    <w:rsid w:val="59102EA7"/>
    <w:rsid w:val="59A35B1F"/>
    <w:rsid w:val="59D404ED"/>
    <w:rsid w:val="5AD8256C"/>
    <w:rsid w:val="5B014DAC"/>
    <w:rsid w:val="5BD90A6F"/>
    <w:rsid w:val="5C952216"/>
    <w:rsid w:val="5C995CB4"/>
    <w:rsid w:val="5CE94325"/>
    <w:rsid w:val="5CFD01E4"/>
    <w:rsid w:val="5D4F0962"/>
    <w:rsid w:val="5DA43B4C"/>
    <w:rsid w:val="5E7301F2"/>
    <w:rsid w:val="5EF3691C"/>
    <w:rsid w:val="604A6AF1"/>
    <w:rsid w:val="605154C4"/>
    <w:rsid w:val="60713BA5"/>
    <w:rsid w:val="60D36972"/>
    <w:rsid w:val="61170A9D"/>
    <w:rsid w:val="6199707C"/>
    <w:rsid w:val="61B06644"/>
    <w:rsid w:val="61C76F2E"/>
    <w:rsid w:val="62EA0803"/>
    <w:rsid w:val="63202D58"/>
    <w:rsid w:val="63212399"/>
    <w:rsid w:val="63E9733B"/>
    <w:rsid w:val="6445714D"/>
    <w:rsid w:val="649A50A6"/>
    <w:rsid w:val="64EC1FEF"/>
    <w:rsid w:val="64FB19EF"/>
    <w:rsid w:val="668F5270"/>
    <w:rsid w:val="669901B8"/>
    <w:rsid w:val="66BB2A7D"/>
    <w:rsid w:val="67312D41"/>
    <w:rsid w:val="685E3CE9"/>
    <w:rsid w:val="690158BE"/>
    <w:rsid w:val="69066128"/>
    <w:rsid w:val="69D64832"/>
    <w:rsid w:val="6ABD36CC"/>
    <w:rsid w:val="6B006AB7"/>
    <w:rsid w:val="6BE358F6"/>
    <w:rsid w:val="6CC03E3A"/>
    <w:rsid w:val="6CC57B87"/>
    <w:rsid w:val="6DEA58FD"/>
    <w:rsid w:val="6EA939F3"/>
    <w:rsid w:val="70191090"/>
    <w:rsid w:val="7078202E"/>
    <w:rsid w:val="719707CD"/>
    <w:rsid w:val="724B5893"/>
    <w:rsid w:val="72546760"/>
    <w:rsid w:val="737C4930"/>
    <w:rsid w:val="747A63D5"/>
    <w:rsid w:val="74896CF5"/>
    <w:rsid w:val="76ED2D58"/>
    <w:rsid w:val="77151ADC"/>
    <w:rsid w:val="778A780E"/>
    <w:rsid w:val="779054B5"/>
    <w:rsid w:val="77AA059F"/>
    <w:rsid w:val="77B72A62"/>
    <w:rsid w:val="77DB6067"/>
    <w:rsid w:val="77F664BD"/>
    <w:rsid w:val="78263F20"/>
    <w:rsid w:val="78E83DAB"/>
    <w:rsid w:val="78FA1DF4"/>
    <w:rsid w:val="792D7153"/>
    <w:rsid w:val="79BD1EFF"/>
    <w:rsid w:val="7A8D4CF3"/>
    <w:rsid w:val="7ABC1967"/>
    <w:rsid w:val="7ACD75B9"/>
    <w:rsid w:val="7B5B36ED"/>
    <w:rsid w:val="7CDD7940"/>
    <w:rsid w:val="7D312396"/>
    <w:rsid w:val="7D402F4D"/>
    <w:rsid w:val="7DA51719"/>
    <w:rsid w:val="7F097CB3"/>
    <w:rsid w:val="7F4F0D3B"/>
    <w:rsid w:val="7F6D6BDA"/>
    <w:rsid w:val="7FC72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6">
    <w:name w:val="heading 3"/>
    <w:basedOn w:val="1"/>
    <w:next w:val="1"/>
    <w:link w:val="16"/>
    <w:qFormat/>
    <w:uiPriority w:val="0"/>
    <w:pPr>
      <w:tabs>
        <w:tab w:val="left" w:pos="720"/>
      </w:tabs>
      <w:autoSpaceDE w:val="0"/>
      <w:autoSpaceDN w:val="0"/>
      <w:adjustRightInd w:val="0"/>
      <w:spacing w:before="120"/>
      <w:textAlignment w:val="baseline"/>
      <w:outlineLvl w:val="2"/>
    </w:pPr>
    <w:rPr>
      <w:rFonts w:ascii="宋体" w:hAnsi="Tms Rmn" w:eastAsia="宋体" w:cs="Times New Roman"/>
      <w:b/>
      <w:kern w:val="0"/>
      <w:sz w:val="24"/>
      <w:szCs w:val="20"/>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paragraph" w:styleId="7">
    <w:name w:val="toa heading"/>
    <w:basedOn w:val="1"/>
    <w:next w:val="1"/>
    <w:qFormat/>
    <w:uiPriority w:val="0"/>
    <w:pPr>
      <w:spacing w:before="120"/>
    </w:pPr>
    <w:rPr>
      <w:rFonts w:ascii="Arial" w:hAnsi="Arial"/>
      <w:sz w:val="24"/>
    </w:rPr>
  </w:style>
  <w:style w:type="paragraph" w:styleId="8">
    <w:name w:val="Date"/>
    <w:basedOn w:val="1"/>
    <w:next w:val="1"/>
    <w:link w:val="15"/>
    <w:unhideWhenUsed/>
    <w:qFormat/>
    <w:uiPriority w:val="99"/>
    <w:pPr>
      <w:ind w:left="100" w:leftChars="2500"/>
    </w:pPr>
  </w:style>
  <w:style w:type="paragraph" w:styleId="9">
    <w:name w:val="footer"/>
    <w:basedOn w:val="1"/>
    <w:link w:val="17"/>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14"/>
    <w:link w:val="8"/>
    <w:semiHidden/>
    <w:qFormat/>
    <w:uiPriority w:val="99"/>
  </w:style>
  <w:style w:type="character" w:customStyle="1" w:styleId="16">
    <w:name w:val="标题 3 Char"/>
    <w:basedOn w:val="14"/>
    <w:link w:val="6"/>
    <w:qFormat/>
    <w:uiPriority w:val="0"/>
    <w:rPr>
      <w:rFonts w:ascii="宋体" w:hAnsi="Tms Rmn" w:eastAsia="宋体" w:cs="Times New Roman"/>
      <w:b/>
      <w:sz w:val="24"/>
    </w:rPr>
  </w:style>
  <w:style w:type="character" w:customStyle="1" w:styleId="17">
    <w:name w:val="页脚 Char"/>
    <w:basedOn w:val="14"/>
    <w:link w:val="9"/>
    <w:qFormat/>
    <w:uiPriority w:val="99"/>
    <w:rPr>
      <w:kern w:val="2"/>
      <w:sz w:val="18"/>
      <w:szCs w:val="22"/>
    </w:rPr>
  </w:style>
  <w:style w:type="character" w:customStyle="1" w:styleId="18">
    <w:name w:val="font11"/>
    <w:basedOn w:val="14"/>
    <w:qFormat/>
    <w:uiPriority w:val="0"/>
    <w:rPr>
      <w:rFonts w:hint="default" w:ascii="仿宋_GB2312" w:eastAsia="仿宋_GB2312" w:cs="仿宋_GB2312"/>
      <w:color w:val="000000"/>
      <w:sz w:val="20"/>
      <w:szCs w:val="20"/>
      <w:u w:val="none"/>
    </w:rPr>
  </w:style>
  <w:style w:type="character" w:customStyle="1" w:styleId="19">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2037</Words>
  <Characters>11612</Characters>
  <Lines>96</Lines>
  <Paragraphs>27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2021-04-13T02:59:00Z</dcterms:created>
  <dc:creator>Administrator</dc:creator>
  <cp:lastModifiedBy>徐日定</cp:lastModifiedBy>
  <cp:lastPrinted>2021-07-06T01:09:00Z</cp:lastPrinted>
  <dcterms:modified xsi:type="dcterms:W3CDTF">2022-06-02T03:18:14Z</dcterms:modified>
  <dc:title>保亭黎族苗族自治县财政局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F8A55DCE2C3D43CD9941A246C11F2139</vt:lpwstr>
  </property>
</Properties>
</file>