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_GBK" w:hAnsi="方正小标宋_GBK" w:eastAsia="方正小标宋_GBK" w:cs="方正小标宋_GBK"/>
          <w:b w:val="0"/>
          <w:bCs/>
          <w:i w:val="0"/>
          <w:caps w:val="0"/>
          <w:color w:val="auto"/>
          <w:spacing w:val="0"/>
          <w:sz w:val="44"/>
          <w:szCs w:val="44"/>
        </w:rPr>
      </w:pPr>
      <w:r>
        <w:rPr>
          <w:rFonts w:hint="eastAsia" w:ascii="方正小标宋_GBK" w:hAnsi="方正小标宋_GBK" w:eastAsia="方正小标宋_GBK" w:cs="方正小标宋_GBK"/>
          <w:b w:val="0"/>
          <w:bCs/>
          <w:i w:val="0"/>
          <w:caps w:val="0"/>
          <w:color w:val="auto"/>
          <w:spacing w:val="0"/>
          <w:sz w:val="44"/>
          <w:szCs w:val="44"/>
          <w:shd w:val="clear" w:fill="FFFFFF"/>
        </w:rPr>
        <w:t>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黑体" w:hAnsi="黑体" w:eastAsia="黑体" w:cs="黑体"/>
          <w:b w:val="0"/>
          <w:bCs/>
          <w:i w:val="0"/>
          <w:caps w:val="0"/>
          <w:color w:val="auto"/>
          <w:spacing w:val="0"/>
          <w:sz w:val="32"/>
          <w:szCs w:val="32"/>
        </w:rPr>
      </w:pPr>
      <w:r>
        <w:rPr>
          <w:rFonts w:hint="eastAsia" w:ascii="黑体" w:hAnsi="黑体" w:eastAsia="黑体" w:cs="黑体"/>
          <w:b w:val="0"/>
          <w:bCs/>
          <w:i w:val="0"/>
          <w:caps w:val="0"/>
          <w:color w:val="auto"/>
          <w:spacing w:val="0"/>
          <w:sz w:val="32"/>
          <w:szCs w:val="32"/>
          <w:shd w:val="clear" w:fill="FFFFFF"/>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根据《中华人民共和国政府信息公开条例》，我局结合工作实际，切实贯彻落实依法行政、规范政府信息公开的要求，坚持“以公开为原则，以不公开为例外”的原则，积极做好政府信息公开工作。由于我局没有独自的门户网站，信息发布主要依托海南省政府网站群内容协作平台、海南省司法厅、保亭县人民政府门户网站和本单位公示栏等平台，202</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年全年，我局共发布各类信息</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3652</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（一）建立健全工作机制。县司法局高度重视政府信息公开工作，将其纳入年度工作的重要议事日程，建立“主要领导负总责，分管领导直接抓，相关</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科</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室具体办”的工作机制，细化政务公开工作分工，明确各</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科</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室责任，积极构建组织有力、协调顺畅、联动高效的领导机制。根据有关要求，县司法局严格依照政务公开的内容和标准，对相关项目进行了审核公开。公开内容主要包括县司法局职责和机构、业务政策法规等，切实做到了应公开的全部公开，公开目录、公开内容真实具体，切实保障群众的知情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（二）拓宽信息公开渠道。在公开形式上，以政府门户网站公开为主，以单位公开栏</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“法治保亭”抖音账号、“法治保亭”微信公众号和“法治保亭”今日头条账号等其他形式为辅</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及时广泛发布概况信息、工作动态、机关党建</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、队伍建设</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等各类公开信息，力争客观反映和宣传我局法治建设工作和司法行政建设工作的发展现状和所取得的成效。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（三）加强信息主动公开。重点围绕人民调解、法治宣传、社区矫正、司法所工作等重点司法行政工作发布信息，实现了信息内容的全面性。</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420" w:leftChars="0" w:right="0" w:rightChars="0" w:firstLine="640" w:firstLineChars="200"/>
        <w:jc w:val="both"/>
        <w:textAlignment w:val="auto"/>
        <w:rPr>
          <w:rFonts w:hint="eastAsia" w:ascii="黑体" w:hAnsi="黑体" w:eastAsia="黑体" w:cs="黑体"/>
          <w:b w:val="0"/>
          <w:bCs/>
          <w:i w:val="0"/>
          <w:caps w:val="0"/>
          <w:color w:val="000000"/>
          <w:spacing w:val="0"/>
          <w:sz w:val="32"/>
          <w:szCs w:val="32"/>
        </w:rPr>
      </w:pPr>
      <w:r>
        <w:rPr>
          <w:rFonts w:hint="eastAsia" w:ascii="黑体" w:hAnsi="黑体" w:eastAsia="黑体" w:cs="黑体"/>
          <w:b w:val="0"/>
          <w:bCs/>
          <w:i w:val="0"/>
          <w:caps w:val="0"/>
          <w:color w:val="000000"/>
          <w:spacing w:val="0"/>
          <w:sz w:val="32"/>
          <w:szCs w:val="32"/>
        </w:rPr>
        <w:t>二、主动公开政府信息情况</w:t>
      </w:r>
    </w:p>
    <w:tbl>
      <w:tblPr>
        <w:tblStyle w:val="3"/>
        <w:tblW w:w="97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本年</w:t>
            </w:r>
            <w:r>
              <w:rPr>
                <w:rFonts w:ascii="Calibri" w:hAnsi="Calibri" w:cs="Calibri" w:eastAsiaTheme="minorEastAsia"/>
                <w:color w:val="000000"/>
                <w:kern w:val="0"/>
                <w:sz w:val="20"/>
                <w:szCs w:val="20"/>
                <w:lang w:val="en-US" w:eastAsia="zh-CN" w:bidi="ar"/>
              </w:rPr>
              <w:t>制</w:t>
            </w:r>
            <w:r>
              <w:rPr>
                <w:rFonts w:hint="eastAsia" w:ascii="宋体" w:hAnsi="宋体" w:eastAsia="宋体" w:cs="宋体"/>
                <w:color w:val="000000"/>
                <w:kern w:val="0"/>
                <w:sz w:val="20"/>
                <w:szCs w:val="20"/>
                <w:lang w:val="en-US" w:eastAsia="zh-CN" w:bidi="ar"/>
              </w:rPr>
              <w:t>发件</w:t>
            </w:r>
            <w:r>
              <w:rPr>
                <w:rFonts w:hint="default" w:ascii="Calibri" w:hAnsi="Calibri" w:cs="Calibri" w:eastAsiaTheme="minorEastAsia"/>
                <w:color w:val="000000"/>
                <w:kern w:val="0"/>
                <w:sz w:val="20"/>
                <w:szCs w:val="20"/>
                <w:lang w:val="en-US" w:eastAsia="zh-CN" w:bidi="ar"/>
              </w:rPr>
              <w:t>数</w:t>
            </w:r>
          </w:p>
        </w:tc>
        <w:tc>
          <w:tcPr>
            <w:tcW w:w="2435"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现行有效件</w:t>
            </w:r>
            <w:r>
              <w:rPr>
                <w:rFonts w:hint="default" w:ascii="Calibri" w:hAnsi="Calibri" w:cs="Calibri" w:eastAsiaTheme="minorEastAsia"/>
                <w:color w:val="000000"/>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eastAsia" w:ascii="Calibri" w:hAnsi="Calibri" w:cs="Calibri"/>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color w:val="000000"/>
                <w:lang w:val="en-US" w:eastAsia="zh-CN"/>
              </w:rPr>
            </w:pPr>
            <w:r>
              <w:rPr>
                <w:rFonts w:hint="eastAsia" w:ascii="宋体" w:hAnsi="宋体" w:eastAsia="宋体" w:cs="宋体"/>
                <w:color w:val="000000"/>
                <w:kern w:val="0"/>
                <w:sz w:val="20"/>
                <w:szCs w:val="20"/>
                <w:lang w:val="en-US" w:eastAsia="zh-CN" w:bidi="ar"/>
              </w:rPr>
              <w:t>1件</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eastAsia" w:ascii="Calibri" w:hAnsi="Calibri" w:cs="Calibri"/>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eastAsia" w:ascii="Calibri" w:hAnsi="Calibri" w:cs="Calibri"/>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E6F4FF"/>
            <w:tcMar>
              <w:top w:w="0" w:type="dxa"/>
              <w:left w:w="57" w:type="dxa"/>
              <w:bottom w:w="0" w:type="dxa"/>
              <w:right w:w="57" w:type="dxa"/>
            </w:tcMar>
            <w:vAlign w:val="center"/>
          </w:tcPr>
          <w:p>
            <w:pPr>
              <w:jc w:val="center"/>
              <w:rPr>
                <w:rFonts w:hint="eastAsia" w:ascii="宋体" w:eastAsiaTheme="minorEastAsia"/>
                <w:color w:val="000000"/>
                <w:sz w:val="24"/>
                <w:szCs w:val="24"/>
                <w:lang w:val="en-US" w:eastAsia="zh-CN"/>
              </w:rPr>
            </w:pPr>
            <w:r>
              <w:rPr>
                <w:rFonts w:hint="eastAsia" w:ascii="宋体"/>
                <w:color w:val="000000"/>
                <w:sz w:val="24"/>
                <w:szCs w:val="24"/>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黑体" w:hAnsi="黑体" w:eastAsia="黑体" w:cs="黑体"/>
          <w:b w:val="0"/>
          <w:bCs/>
          <w:i w:val="0"/>
          <w:caps w:val="0"/>
          <w:color w:val="000000"/>
          <w:spacing w:val="0"/>
          <w:sz w:val="32"/>
          <w:szCs w:val="32"/>
        </w:rPr>
      </w:pPr>
      <w:r>
        <w:rPr>
          <w:rFonts w:hint="eastAsia" w:ascii="黑体" w:hAnsi="黑体" w:eastAsia="黑体" w:cs="黑体"/>
          <w:b w:val="0"/>
          <w:bCs/>
          <w:i w:val="0"/>
          <w:caps w:val="0"/>
          <w:color w:val="000000"/>
          <w:spacing w:val="0"/>
          <w:sz w:val="32"/>
          <w:szCs w:val="32"/>
        </w:rPr>
        <w:t>三、收到和处理政府信息公开申请情况</w:t>
      </w:r>
    </w:p>
    <w:tbl>
      <w:tblPr>
        <w:tblStyle w:val="3"/>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771"/>
        <w:gridCol w:w="946"/>
        <w:gridCol w:w="3257"/>
        <w:gridCol w:w="693"/>
        <w:gridCol w:w="693"/>
        <w:gridCol w:w="693"/>
        <w:gridCol w:w="693"/>
        <w:gridCol w:w="694"/>
        <w:gridCol w:w="694"/>
        <w:gridCol w:w="61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4974" w:type="dxa"/>
            <w:gridSpan w:val="3"/>
            <w:vMerge w:val="restart"/>
            <w:tcBorders>
              <w:top w:val="single" w:color="auto" w:sz="8" w:space="0"/>
              <w:left w:val="single" w:color="auto" w:sz="8" w:space="0"/>
              <w:bottom w:val="outset"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新宋体" w:hAnsi="新宋体" w:eastAsia="新宋体" w:cs="新宋体"/>
                <w:color w:val="000000"/>
                <w:kern w:val="0"/>
                <w:sz w:val="20"/>
                <w:szCs w:val="20"/>
                <w:lang w:val="en-US" w:eastAsia="zh-CN" w:bidi="ar"/>
              </w:rPr>
              <w:t>（本列数据的勾稽关系为：第一项加第二项之和，等于第三项加第四项之和）</w:t>
            </w:r>
          </w:p>
        </w:tc>
        <w:tc>
          <w:tcPr>
            <w:tcW w:w="4774" w:type="dxa"/>
            <w:gridSpan w:val="7"/>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4974" w:type="dxa"/>
            <w:gridSpan w:val="3"/>
            <w:vMerge w:val="continue"/>
            <w:tcBorders>
              <w:top w:val="single" w:color="auto" w:sz="8" w:space="0"/>
              <w:left w:val="single" w:color="auto" w:sz="8" w:space="0"/>
              <w:bottom w:val="outset"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693" w:type="dxa"/>
            <w:vMerge w:val="restart"/>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自然人</w:t>
            </w:r>
          </w:p>
        </w:tc>
        <w:tc>
          <w:tcPr>
            <w:tcW w:w="3467" w:type="dxa"/>
            <w:gridSpan w:val="5"/>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法人或其他组织</w:t>
            </w:r>
          </w:p>
        </w:tc>
        <w:tc>
          <w:tcPr>
            <w:tcW w:w="614" w:type="dxa"/>
            <w:vMerge w:val="restart"/>
            <w:tcBorders>
              <w:top w:val="single" w:color="auto" w:sz="8" w:space="0"/>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4974" w:type="dxa"/>
            <w:gridSpan w:val="3"/>
            <w:vMerge w:val="continue"/>
            <w:tcBorders>
              <w:top w:val="single" w:color="auto" w:sz="8" w:space="0"/>
              <w:left w:val="single" w:color="auto" w:sz="8" w:space="0"/>
              <w:bottom w:val="outset"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693" w:type="dxa"/>
            <w:vMerge w:val="continue"/>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企业</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机构</w:t>
            </w:r>
          </w:p>
        </w:tc>
        <w:tc>
          <w:tcPr>
            <w:tcW w:w="693"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社会公益组织</w:t>
            </w:r>
          </w:p>
        </w:tc>
        <w:tc>
          <w:tcPr>
            <w:tcW w:w="694"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法律服务机构</w:t>
            </w:r>
          </w:p>
        </w:tc>
        <w:tc>
          <w:tcPr>
            <w:tcW w:w="694"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其他</w:t>
            </w:r>
          </w:p>
        </w:tc>
        <w:tc>
          <w:tcPr>
            <w:tcW w:w="614" w:type="dxa"/>
            <w:vMerge w:val="continue"/>
            <w:tcBorders>
              <w:top w:val="single" w:color="auto" w:sz="8" w:space="0"/>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4974" w:type="dxa"/>
            <w:gridSpan w:val="3"/>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一、本年新收政府信息公开申请数量</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4974" w:type="dxa"/>
            <w:gridSpan w:val="3"/>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二、上年结转政府信息公开申请数量</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771" w:type="dxa"/>
            <w:vMerge w:val="restart"/>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三、本年度办理结果</w:t>
            </w:r>
          </w:p>
        </w:tc>
        <w:tc>
          <w:tcPr>
            <w:tcW w:w="4203" w:type="dxa"/>
            <w:gridSpan w:val="2"/>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（一）予以公开</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14"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771"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4203" w:type="dxa"/>
            <w:gridSpan w:val="2"/>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新宋体" w:hAnsi="新宋体" w:eastAsia="新宋体" w:cs="新宋体"/>
                <w:color w:val="000000"/>
                <w:kern w:val="0"/>
                <w:sz w:val="20"/>
                <w:szCs w:val="20"/>
                <w:lang w:val="en-US" w:eastAsia="zh-CN" w:bidi="ar"/>
              </w:rPr>
              <w:t>（二）部分公开（区分处理的，只计这一情形，不计其他情形）</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color w:val="000000"/>
                <w:lang w:val="en-US" w:eastAsia="zh-CN"/>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color w:val="000000"/>
                <w:lang w:val="en-US" w:eastAsia="zh-CN"/>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color w:val="000000"/>
                <w:lang w:val="en-US" w:eastAsia="zh-CN"/>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color w:val="000000"/>
                <w:lang w:val="en-US" w:eastAsia="zh-CN"/>
              </w:rPr>
              <w:t>0</w:t>
            </w:r>
          </w:p>
        </w:tc>
        <w:tc>
          <w:tcPr>
            <w:tcW w:w="69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color w:val="000000"/>
                <w:lang w:val="en-US" w:eastAsia="zh-CN"/>
              </w:rPr>
              <w:t>0</w:t>
            </w:r>
          </w:p>
        </w:tc>
        <w:tc>
          <w:tcPr>
            <w:tcW w:w="69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color w:val="000000"/>
                <w:lang w:val="en-US" w:eastAsia="zh-CN"/>
              </w:rPr>
              <w:t>0</w:t>
            </w:r>
          </w:p>
        </w:tc>
        <w:tc>
          <w:tcPr>
            <w:tcW w:w="6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000000"/>
                <w:lang w:val="en-US" w:eastAsia="zh-CN"/>
              </w:rPr>
            </w:pPr>
            <w:r>
              <w:rPr>
                <w:rFonts w:hint="eastAsia"/>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771"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6" w:type="dxa"/>
            <w:vMerge w:val="restart"/>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（三）不予公开</w:t>
            </w:r>
          </w:p>
        </w:tc>
        <w:tc>
          <w:tcPr>
            <w:tcW w:w="3257"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1.属于国家秘密</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14"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771"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6"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57"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2.其他法律行政法规禁止公开</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771"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6"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57"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3.危及“三安全一稳定”</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771"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6"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57"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4.保护第三方合法权益</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771"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6"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57"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5.属于三类内部事务信息</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771"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6"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57"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6.属于四类过程性信息</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771"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6"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57"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7.属于行政执法案卷</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771"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6"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57"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8.属于行政查询事项</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771"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6" w:type="dxa"/>
            <w:vMerge w:val="restart"/>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（四）无法提供</w:t>
            </w:r>
          </w:p>
        </w:tc>
        <w:tc>
          <w:tcPr>
            <w:tcW w:w="3257"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1.本机关不掌握相关政府信息</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771"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6"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57"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2.没有现成信息需要另行制作</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771"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6"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57"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3.补正后申请内容仍不明确</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771"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6" w:type="dxa"/>
            <w:vMerge w:val="restart"/>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（五）不予处理</w:t>
            </w:r>
          </w:p>
        </w:tc>
        <w:tc>
          <w:tcPr>
            <w:tcW w:w="3257"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1.信访举报投诉类申请</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771"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6"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57"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2.重复申请</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771"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6"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57"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3.要求提供公开出版物</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771"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6"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57"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4.无正当理由大量反复申请</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779" w:hRule="atLeast"/>
          <w:jc w:val="center"/>
        </w:trPr>
        <w:tc>
          <w:tcPr>
            <w:tcW w:w="771"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6"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57"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rPr>
            </w:pPr>
            <w:r>
              <w:rPr>
                <w:rFonts w:hint="eastAsia" w:ascii="宋体" w:hAnsi="宋体" w:eastAsia="宋体" w:cs="宋体"/>
                <w:color w:val="000000"/>
                <w:kern w:val="0"/>
                <w:sz w:val="20"/>
                <w:szCs w:val="20"/>
                <w:lang w:val="en-US" w:eastAsia="zh-CN" w:bidi="ar"/>
              </w:rPr>
              <w:t>5.要求行政机关确认或重新出具已获取信息</w:t>
            </w:r>
          </w:p>
        </w:tc>
        <w:tc>
          <w:tcPr>
            <w:tcW w:w="693"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4"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4"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14"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771"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6" w:type="dxa"/>
            <w:vMerge w:val="restart"/>
            <w:tcBorders>
              <w:top w:val="outset" w:color="auto" w:sz="8" w:space="0"/>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（六）其他处理</w:t>
            </w:r>
          </w:p>
        </w:tc>
        <w:tc>
          <w:tcPr>
            <w:tcW w:w="3257"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rPr>
            </w:pPr>
            <w:r>
              <w:rPr>
                <w:rFonts w:hint="eastAsia" w:ascii="宋体" w:hAnsi="宋体" w:eastAsia="宋体" w:cs="宋体"/>
                <w:color w:val="000000"/>
                <w:kern w:val="0"/>
                <w:sz w:val="20"/>
                <w:szCs w:val="20"/>
                <w:lang w:val="en-US" w:eastAsia="zh-CN" w:bidi="ar"/>
              </w:rPr>
              <w:t>1.申请人无正当理由逾期不补正、行政机关不再处理其政府信息公开申请</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771"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6" w:type="dxa"/>
            <w:vMerge w:val="continue"/>
            <w:tcBorders>
              <w:top w:val="outset" w:color="auto" w:sz="8" w:space="0"/>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57"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rPr>
            </w:pPr>
            <w:r>
              <w:rPr>
                <w:rFonts w:hint="eastAsia" w:ascii="宋体" w:hAnsi="宋体" w:eastAsia="宋体" w:cs="宋体"/>
                <w:color w:val="000000"/>
                <w:kern w:val="0"/>
                <w:sz w:val="20"/>
                <w:szCs w:val="20"/>
                <w:lang w:val="en-US" w:eastAsia="zh-CN" w:bidi="ar"/>
              </w:rPr>
              <w:t>2.申请人逾期未按收费通知要求缴纳费用、行政机关不再处理其政府信息公开申请</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771"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6" w:type="dxa"/>
            <w:vMerge w:val="continue"/>
            <w:tcBorders>
              <w:top w:val="outset" w:color="auto" w:sz="8" w:space="0"/>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57"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3.其他</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771"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4203" w:type="dxa"/>
            <w:gridSpan w:val="2"/>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（七）总计</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9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6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4974" w:type="dxa"/>
            <w:gridSpan w:val="3"/>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四、结转下年度继续办理</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jc w:val="center"/>
              <w:rPr>
                <w:color w:val="000000"/>
              </w:rPr>
            </w:pPr>
            <w:r>
              <w:rPr>
                <w:rFonts w:hint="eastAsia" w:ascii="宋体"/>
                <w:color w:val="000000"/>
                <w:sz w:val="24"/>
                <w:szCs w:val="24"/>
                <w:lang w:val="en-US" w:eastAsia="zh-CN"/>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jc w:val="center"/>
              <w:rPr>
                <w:color w:val="000000"/>
              </w:rPr>
            </w:pPr>
            <w:r>
              <w:rPr>
                <w:rFonts w:hint="eastAsia" w:ascii="宋体"/>
                <w:color w:val="000000"/>
                <w:sz w:val="24"/>
                <w:szCs w:val="24"/>
                <w:lang w:val="en-US" w:eastAsia="zh-CN"/>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jc w:val="center"/>
              <w:rPr>
                <w:color w:val="000000"/>
              </w:rPr>
            </w:pPr>
            <w:r>
              <w:rPr>
                <w:rFonts w:hint="eastAsia" w:ascii="宋体"/>
                <w:color w:val="000000"/>
                <w:sz w:val="24"/>
                <w:szCs w:val="24"/>
                <w:lang w:val="en-US" w:eastAsia="zh-CN"/>
              </w:rPr>
              <w:t>0</w:t>
            </w:r>
          </w:p>
        </w:tc>
        <w:tc>
          <w:tcPr>
            <w:tcW w:w="693"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jc w:val="center"/>
              <w:rPr>
                <w:color w:val="000000"/>
              </w:rPr>
            </w:pPr>
            <w:r>
              <w:rPr>
                <w:rFonts w:hint="eastAsia" w:ascii="宋体"/>
                <w:color w:val="000000"/>
                <w:sz w:val="24"/>
                <w:szCs w:val="24"/>
                <w:lang w:val="en-US" w:eastAsia="zh-CN"/>
              </w:rPr>
              <w:t>0</w:t>
            </w:r>
          </w:p>
        </w:tc>
        <w:tc>
          <w:tcPr>
            <w:tcW w:w="69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jc w:val="center"/>
              <w:rPr>
                <w:color w:val="000000"/>
              </w:rPr>
            </w:pPr>
            <w:r>
              <w:rPr>
                <w:rFonts w:hint="eastAsia" w:ascii="宋体"/>
                <w:color w:val="000000"/>
                <w:sz w:val="24"/>
                <w:szCs w:val="24"/>
                <w:lang w:val="en-US" w:eastAsia="zh-CN"/>
              </w:rPr>
              <w:t>0</w:t>
            </w:r>
          </w:p>
        </w:tc>
        <w:tc>
          <w:tcPr>
            <w:tcW w:w="69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jc w:val="center"/>
              <w:rPr>
                <w:color w:val="000000"/>
              </w:rPr>
            </w:pPr>
            <w:r>
              <w:rPr>
                <w:rFonts w:hint="eastAsia" w:ascii="宋体"/>
                <w:color w:val="000000"/>
                <w:sz w:val="24"/>
                <w:szCs w:val="24"/>
                <w:lang w:val="en-US" w:eastAsia="zh-CN"/>
              </w:rPr>
              <w:t>0</w:t>
            </w:r>
          </w:p>
        </w:tc>
        <w:tc>
          <w:tcPr>
            <w:tcW w:w="6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jc w:val="center"/>
              <w:rPr>
                <w:rFonts w:hint="eastAsia" w:ascii="宋体" w:eastAsiaTheme="minorEastAsia"/>
                <w:color w:val="000000"/>
                <w:sz w:val="24"/>
                <w:szCs w:val="24"/>
                <w:lang w:val="en-US" w:eastAsia="zh-CN"/>
              </w:rPr>
            </w:pPr>
            <w:r>
              <w:rPr>
                <w:rFonts w:hint="eastAsia" w:ascii="宋体"/>
                <w:color w:val="000000"/>
                <w:sz w:val="24"/>
                <w:szCs w:val="24"/>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黑体" w:hAnsi="黑体" w:eastAsia="黑体" w:cs="黑体"/>
          <w:b w:val="0"/>
          <w:bCs/>
          <w:i w:val="0"/>
          <w:caps w:val="0"/>
          <w:color w:val="000000"/>
          <w:spacing w:val="0"/>
          <w:sz w:val="32"/>
          <w:szCs w:val="32"/>
        </w:rPr>
      </w:pPr>
      <w:r>
        <w:rPr>
          <w:rFonts w:hint="eastAsia" w:ascii="黑体" w:hAnsi="黑体" w:eastAsia="黑体" w:cs="黑体"/>
          <w:b w:val="0"/>
          <w:bCs/>
          <w:i w:val="0"/>
          <w:caps w:val="0"/>
          <w:color w:val="000000"/>
          <w:spacing w:val="0"/>
          <w:sz w:val="32"/>
          <w:szCs w:val="32"/>
        </w:rPr>
        <w:t>四、政府信息公开行政复议、行政诉讼情况</w:t>
      </w:r>
    </w:p>
    <w:tbl>
      <w:tblPr>
        <w:tblStyle w:val="3"/>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599"/>
        <w:gridCol w:w="599"/>
        <w:gridCol w:w="599"/>
        <w:gridCol w:w="599"/>
        <w:gridCol w:w="599"/>
        <w:gridCol w:w="599"/>
        <w:gridCol w:w="599"/>
        <w:gridCol w:w="600"/>
        <w:gridCol w:w="600"/>
        <w:gridCol w:w="600"/>
        <w:gridCol w:w="600"/>
        <w:gridCol w:w="600"/>
        <w:gridCol w:w="600"/>
        <w:gridCol w:w="600"/>
        <w:gridCol w:w="135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2995" w:type="dxa"/>
            <w:gridSpan w:val="5"/>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行政复议</w:t>
            </w:r>
          </w:p>
        </w:tc>
        <w:tc>
          <w:tcPr>
            <w:tcW w:w="6753" w:type="dxa"/>
            <w:gridSpan w:val="10"/>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599"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结果维持</w:t>
            </w:r>
          </w:p>
        </w:tc>
        <w:tc>
          <w:tcPr>
            <w:tcW w:w="599"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结 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正</w:t>
            </w:r>
          </w:p>
        </w:tc>
        <w:tc>
          <w:tcPr>
            <w:tcW w:w="599" w:type="dxa"/>
            <w:vMerge w:val="restart"/>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果</w:t>
            </w:r>
          </w:p>
        </w:tc>
        <w:tc>
          <w:tcPr>
            <w:tcW w:w="599" w:type="dxa"/>
            <w:vMerge w:val="restart"/>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结</w:t>
            </w:r>
          </w:p>
        </w:tc>
        <w:tc>
          <w:tcPr>
            <w:tcW w:w="599" w:type="dxa"/>
            <w:vMerge w:val="restart"/>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总计</w:t>
            </w:r>
          </w:p>
        </w:tc>
        <w:tc>
          <w:tcPr>
            <w:tcW w:w="2998" w:type="dxa"/>
            <w:gridSpan w:val="5"/>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未经复议直接起诉</w:t>
            </w:r>
          </w:p>
        </w:tc>
        <w:tc>
          <w:tcPr>
            <w:tcW w:w="3755" w:type="dxa"/>
            <w:gridSpan w:val="5"/>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599"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宋体"/>
                <w:color w:val="000000"/>
                <w:sz w:val="24"/>
                <w:szCs w:val="24"/>
              </w:rPr>
            </w:pPr>
          </w:p>
        </w:tc>
        <w:tc>
          <w:tcPr>
            <w:tcW w:w="599"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宋体"/>
                <w:color w:val="000000"/>
                <w:sz w:val="24"/>
                <w:szCs w:val="24"/>
              </w:rPr>
            </w:pPr>
          </w:p>
        </w:tc>
        <w:tc>
          <w:tcPr>
            <w:tcW w:w="599" w:type="dxa"/>
            <w:vMerge w:val="continue"/>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宋体"/>
                <w:color w:val="000000"/>
                <w:sz w:val="24"/>
                <w:szCs w:val="24"/>
              </w:rPr>
            </w:pPr>
          </w:p>
        </w:tc>
        <w:tc>
          <w:tcPr>
            <w:tcW w:w="599" w:type="dxa"/>
            <w:vMerge w:val="continue"/>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宋体"/>
                <w:color w:val="000000"/>
                <w:sz w:val="24"/>
                <w:szCs w:val="24"/>
              </w:rPr>
            </w:pPr>
          </w:p>
        </w:tc>
        <w:tc>
          <w:tcPr>
            <w:tcW w:w="599" w:type="dxa"/>
            <w:vMerge w:val="continue"/>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宋体"/>
                <w:color w:val="000000"/>
                <w:sz w:val="24"/>
                <w:szCs w:val="24"/>
              </w:rPr>
            </w:pPr>
          </w:p>
        </w:tc>
        <w:tc>
          <w:tcPr>
            <w:tcW w:w="599"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持</w:t>
            </w:r>
          </w:p>
        </w:tc>
        <w:tc>
          <w:tcPr>
            <w:tcW w:w="599"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正</w:t>
            </w:r>
          </w:p>
        </w:tc>
        <w:tc>
          <w:tcPr>
            <w:tcW w:w="600"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果</w:t>
            </w:r>
          </w:p>
        </w:tc>
        <w:tc>
          <w:tcPr>
            <w:tcW w:w="600"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结</w:t>
            </w:r>
          </w:p>
        </w:tc>
        <w:tc>
          <w:tcPr>
            <w:tcW w:w="600"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总计</w:t>
            </w:r>
          </w:p>
        </w:tc>
        <w:tc>
          <w:tcPr>
            <w:tcW w:w="600"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持</w:t>
            </w:r>
          </w:p>
        </w:tc>
        <w:tc>
          <w:tcPr>
            <w:tcW w:w="600"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正</w:t>
            </w:r>
          </w:p>
        </w:tc>
        <w:tc>
          <w:tcPr>
            <w:tcW w:w="600"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果</w:t>
            </w:r>
          </w:p>
        </w:tc>
        <w:tc>
          <w:tcPr>
            <w:tcW w:w="600"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结</w:t>
            </w:r>
          </w:p>
        </w:tc>
        <w:tc>
          <w:tcPr>
            <w:tcW w:w="1355"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672" w:hRule="atLeast"/>
          <w:jc w:val="center"/>
        </w:trPr>
        <w:tc>
          <w:tcPr>
            <w:tcW w:w="599"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color w:val="000000"/>
              </w:rPr>
            </w:pPr>
            <w:r>
              <w:rPr>
                <w:rFonts w:hint="eastAsia" w:ascii="黑体" w:hAnsi="宋体" w:eastAsia="黑体" w:cs="黑体"/>
                <w:color w:val="000000"/>
                <w:kern w:val="0"/>
                <w:sz w:val="20"/>
                <w:szCs w:val="20"/>
                <w:lang w:val="en-US" w:eastAsia="zh-CN" w:bidi="ar"/>
              </w:rPr>
              <w:t>2</w:t>
            </w:r>
          </w:p>
        </w:tc>
        <w:tc>
          <w:tcPr>
            <w:tcW w:w="599"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color w:val="000000"/>
              </w:rPr>
            </w:pPr>
            <w:r>
              <w:rPr>
                <w:rFonts w:hint="eastAsia" w:ascii="黑体" w:hAnsi="宋体" w:eastAsia="黑体" w:cs="黑体"/>
                <w:color w:val="000000"/>
                <w:kern w:val="0"/>
                <w:sz w:val="20"/>
                <w:szCs w:val="20"/>
                <w:lang w:val="en-US" w:eastAsia="zh-CN" w:bidi="ar"/>
              </w:rPr>
              <w:t>6</w:t>
            </w:r>
          </w:p>
        </w:tc>
        <w:tc>
          <w:tcPr>
            <w:tcW w:w="599"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color w:val="000000"/>
              </w:rPr>
            </w:pPr>
            <w:r>
              <w:rPr>
                <w:rFonts w:hint="eastAsia" w:ascii="黑体" w:hAnsi="宋体" w:eastAsia="黑体" w:cs="黑体"/>
                <w:color w:val="000000"/>
                <w:kern w:val="0"/>
                <w:sz w:val="20"/>
                <w:szCs w:val="20"/>
                <w:lang w:val="en-US" w:eastAsia="zh-CN" w:bidi="ar"/>
              </w:rPr>
              <w:t>1</w:t>
            </w:r>
          </w:p>
        </w:tc>
        <w:tc>
          <w:tcPr>
            <w:tcW w:w="599"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color w:val="000000"/>
              </w:rPr>
            </w:pPr>
            <w:r>
              <w:rPr>
                <w:rFonts w:hint="eastAsia" w:ascii="黑体" w:hAnsi="宋体" w:eastAsia="黑体" w:cs="黑体"/>
                <w:color w:val="000000"/>
                <w:kern w:val="0"/>
                <w:sz w:val="20"/>
                <w:szCs w:val="20"/>
                <w:lang w:val="en-US" w:eastAsia="zh-CN" w:bidi="ar"/>
              </w:rPr>
              <w:t>0</w:t>
            </w:r>
          </w:p>
        </w:tc>
        <w:tc>
          <w:tcPr>
            <w:tcW w:w="599"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color w:val="000000"/>
              </w:rPr>
            </w:pPr>
            <w:r>
              <w:rPr>
                <w:rFonts w:hint="eastAsia" w:ascii="黑体" w:hAnsi="宋体" w:eastAsia="黑体" w:cs="黑体"/>
                <w:color w:val="000000"/>
                <w:kern w:val="0"/>
                <w:sz w:val="20"/>
                <w:szCs w:val="20"/>
                <w:lang w:val="en-US" w:eastAsia="zh-CN" w:bidi="ar"/>
              </w:rPr>
              <w:t>9</w:t>
            </w:r>
          </w:p>
        </w:tc>
        <w:tc>
          <w:tcPr>
            <w:tcW w:w="599"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color w:val="000000"/>
              </w:rPr>
            </w:pPr>
            <w:r>
              <w:rPr>
                <w:rFonts w:hint="eastAsia" w:ascii="黑体" w:hAnsi="宋体" w:eastAsia="黑体" w:cs="黑体"/>
                <w:color w:val="000000"/>
                <w:kern w:val="0"/>
                <w:sz w:val="20"/>
                <w:szCs w:val="20"/>
                <w:lang w:val="en-US" w:eastAsia="zh-CN" w:bidi="ar"/>
              </w:rPr>
              <w:t>0</w:t>
            </w:r>
          </w:p>
        </w:tc>
        <w:tc>
          <w:tcPr>
            <w:tcW w:w="599"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color w:val="000000"/>
              </w:rPr>
            </w:pPr>
            <w:r>
              <w:rPr>
                <w:rFonts w:hint="eastAsia" w:ascii="黑体" w:hAnsi="宋体" w:eastAsia="黑体" w:cs="黑体"/>
                <w:color w:val="000000"/>
                <w:kern w:val="0"/>
                <w:sz w:val="20"/>
                <w:szCs w:val="20"/>
                <w:lang w:val="en-US" w:eastAsia="zh-CN" w:bidi="ar"/>
              </w:rPr>
              <w:t>0</w:t>
            </w:r>
          </w:p>
        </w:tc>
        <w:tc>
          <w:tcPr>
            <w:tcW w:w="600"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color w:val="000000"/>
              </w:rPr>
            </w:pPr>
            <w:r>
              <w:rPr>
                <w:rFonts w:hint="eastAsia" w:ascii="黑体" w:hAnsi="宋体" w:eastAsia="黑体" w:cs="黑体"/>
                <w:color w:val="000000"/>
                <w:kern w:val="0"/>
                <w:sz w:val="20"/>
                <w:szCs w:val="20"/>
                <w:lang w:val="en-US" w:eastAsia="zh-CN" w:bidi="ar"/>
              </w:rPr>
              <w:t>0</w:t>
            </w:r>
          </w:p>
        </w:tc>
        <w:tc>
          <w:tcPr>
            <w:tcW w:w="600"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color w:val="000000"/>
              </w:rPr>
            </w:pPr>
            <w:r>
              <w:rPr>
                <w:rFonts w:hint="eastAsia" w:ascii="黑体" w:hAnsi="宋体" w:eastAsia="黑体" w:cs="黑体"/>
                <w:color w:val="000000"/>
                <w:kern w:val="0"/>
                <w:sz w:val="20"/>
                <w:szCs w:val="20"/>
                <w:lang w:val="en-US" w:eastAsia="zh-CN" w:bidi="ar"/>
              </w:rPr>
              <w:t>0</w:t>
            </w:r>
          </w:p>
        </w:tc>
        <w:tc>
          <w:tcPr>
            <w:tcW w:w="600"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color w:val="000000"/>
              </w:rPr>
            </w:pPr>
            <w:r>
              <w:rPr>
                <w:rFonts w:hint="eastAsia" w:ascii="黑体" w:hAnsi="宋体" w:eastAsia="黑体" w:cs="黑体"/>
                <w:color w:val="000000"/>
                <w:kern w:val="0"/>
                <w:sz w:val="20"/>
                <w:szCs w:val="20"/>
                <w:lang w:val="en-US" w:eastAsia="zh-CN" w:bidi="ar"/>
              </w:rPr>
              <w:t>0</w:t>
            </w:r>
          </w:p>
        </w:tc>
        <w:tc>
          <w:tcPr>
            <w:tcW w:w="600"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color w:val="000000"/>
              </w:rPr>
            </w:pPr>
            <w:r>
              <w:rPr>
                <w:rFonts w:hint="eastAsia" w:ascii="黑体" w:hAnsi="宋体" w:eastAsia="黑体" w:cs="黑体"/>
                <w:color w:val="000000"/>
                <w:kern w:val="0"/>
                <w:sz w:val="20"/>
                <w:szCs w:val="20"/>
                <w:lang w:val="en-US" w:eastAsia="zh-CN" w:bidi="ar"/>
              </w:rPr>
              <w:t>0</w:t>
            </w:r>
          </w:p>
        </w:tc>
        <w:tc>
          <w:tcPr>
            <w:tcW w:w="600"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color w:val="000000"/>
              </w:rPr>
            </w:pPr>
            <w:r>
              <w:rPr>
                <w:rFonts w:hint="eastAsia" w:ascii="黑体" w:hAnsi="宋体" w:eastAsia="黑体" w:cs="黑体"/>
                <w:color w:val="000000"/>
                <w:kern w:val="0"/>
                <w:sz w:val="20"/>
                <w:szCs w:val="20"/>
                <w:lang w:val="en-US" w:eastAsia="zh-CN" w:bidi="ar"/>
              </w:rPr>
              <w:t>0</w:t>
            </w:r>
          </w:p>
        </w:tc>
        <w:tc>
          <w:tcPr>
            <w:tcW w:w="600"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color w:val="000000"/>
              </w:rPr>
            </w:pPr>
            <w:r>
              <w:rPr>
                <w:rFonts w:hint="eastAsia" w:ascii="黑体" w:hAnsi="宋体" w:eastAsia="黑体" w:cs="黑体"/>
                <w:color w:val="000000"/>
                <w:kern w:val="0"/>
                <w:sz w:val="20"/>
                <w:szCs w:val="20"/>
                <w:lang w:val="en-US" w:eastAsia="zh-CN" w:bidi="ar"/>
              </w:rPr>
              <w:t>0</w:t>
            </w:r>
          </w:p>
        </w:tc>
        <w:tc>
          <w:tcPr>
            <w:tcW w:w="600"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color w:val="000000"/>
              </w:rPr>
            </w:pPr>
            <w:r>
              <w:rPr>
                <w:rFonts w:hint="eastAsia" w:ascii="黑体" w:hAnsi="宋体" w:eastAsia="黑体" w:cs="黑体"/>
                <w:color w:val="000000"/>
                <w:kern w:val="0"/>
                <w:sz w:val="20"/>
                <w:szCs w:val="20"/>
                <w:lang w:val="en-US" w:eastAsia="zh-CN" w:bidi="ar"/>
              </w:rPr>
              <w:t>1</w:t>
            </w:r>
          </w:p>
        </w:tc>
        <w:tc>
          <w:tcPr>
            <w:tcW w:w="1355"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宋体"/>
                <w:color w:val="000000"/>
                <w:sz w:val="24"/>
                <w:szCs w:val="24"/>
              </w:rPr>
            </w:pPr>
            <w:r>
              <w:rPr>
                <w:rFonts w:hint="eastAsia" w:ascii="宋体"/>
                <w:color w:val="000000"/>
                <w:sz w:val="24"/>
                <w:szCs w:val="24"/>
                <w:lang w:val="en-US" w:eastAsia="zh-CN"/>
              </w:rPr>
              <w:t>1</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jc w:val="both"/>
        <w:textAlignment w:val="auto"/>
        <w:rPr>
          <w:rFonts w:hint="default" w:ascii="黑体" w:hAnsi="黑体" w:eastAsia="黑体" w:cs="黑体"/>
          <w:b w:val="0"/>
          <w:bCs/>
          <w:i w:val="0"/>
          <w:caps w:val="0"/>
          <w:color w:val="auto"/>
          <w:spacing w:val="0"/>
          <w:sz w:val="32"/>
          <w:szCs w:val="32"/>
          <w:lang w:val="en-US" w:eastAsia="zh-CN"/>
        </w:rPr>
      </w:pPr>
      <w:r>
        <w:rPr>
          <w:rFonts w:hint="eastAsia" w:ascii="黑体" w:hAnsi="黑体" w:eastAsia="黑体" w:cs="黑体"/>
          <w:b w:val="0"/>
          <w:bCs/>
          <w:i w:val="0"/>
          <w:caps w:val="0"/>
          <w:color w:val="auto"/>
          <w:spacing w:val="0"/>
          <w:sz w:val="32"/>
          <w:szCs w:val="32"/>
          <w:shd w:val="clear" w:fill="FFFFFF"/>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202</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年，我局在政府信息公开等基础性工作方面取得了新的进展，但</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仍存在</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主动公开</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的</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政府信息内容与公众的需求还存在一些差距，公开信息总量有限，政务新媒体</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信息更新不够及时</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个别科室</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对信息公开工作重视不够，主动公开意识仍需加强，信息公开规范化有待进一步提高</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等问题</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2023年，我局将从以下方面加强政府信息公开工作水平：</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caps w:val="0"/>
          <w:color w:val="auto"/>
          <w:spacing w:val="0"/>
          <w:sz w:val="32"/>
          <w:szCs w:val="32"/>
          <w:shd w:val="clear" w:fill="FFFFFF"/>
        </w:rPr>
        <w:t>加强培训学习，提高政务公开</w:t>
      </w:r>
      <w:r>
        <w:rPr>
          <w:rFonts w:hint="eastAsia" w:ascii="仿宋_GB2312" w:hAnsi="仿宋_GB2312" w:eastAsia="仿宋_GB2312" w:cs="仿宋_GB2312"/>
          <w:i w:val="0"/>
          <w:caps w:val="0"/>
          <w:color w:val="auto"/>
          <w:spacing w:val="0"/>
          <w:sz w:val="32"/>
          <w:szCs w:val="32"/>
          <w:shd w:val="clear" w:fill="FFFFFF"/>
          <w:lang w:eastAsia="zh-CN"/>
        </w:rPr>
        <w:t>工作水平</w:t>
      </w:r>
      <w:r>
        <w:rPr>
          <w:rFonts w:hint="eastAsia" w:ascii="仿宋_GB2312" w:hAnsi="仿宋_GB2312" w:eastAsia="仿宋_GB2312" w:cs="仿宋_GB2312"/>
          <w:i w:val="0"/>
          <w:caps w:val="0"/>
          <w:color w:val="auto"/>
          <w:spacing w:val="0"/>
          <w:sz w:val="32"/>
          <w:szCs w:val="32"/>
          <w:shd w:val="clear" w:fill="FFFFFF"/>
        </w:rPr>
        <w:t>。加强</w:t>
      </w:r>
      <w:r>
        <w:rPr>
          <w:rFonts w:hint="eastAsia" w:ascii="仿宋_GB2312" w:hAnsi="仿宋_GB2312" w:eastAsia="仿宋_GB2312" w:cs="仿宋_GB2312"/>
          <w:i w:val="0"/>
          <w:caps w:val="0"/>
          <w:color w:val="auto"/>
          <w:spacing w:val="0"/>
          <w:sz w:val="32"/>
          <w:szCs w:val="32"/>
          <w:shd w:val="clear" w:fill="FFFFFF"/>
          <w:lang w:eastAsia="zh-CN"/>
        </w:rPr>
        <w:t>对信</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息工作人员的业务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培训，</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不断</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提高信息工作人员的业务水平</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，促进提高我局政务公开工作水平。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（二）</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加大宣传力度，</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增强主动公开政务意识。通过组织各科室司法所负责人集中学习政务公开工作相关文件精神，不断</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增强</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各科室司法所主动</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公开</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政务信息的</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意识。</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充分利用政府门户网站和我局</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“法治保亭”抖音账号、“法治保亭”微信公众号和“法治保亭”今日头条账号</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三个新媒体账号，</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将司法行政</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各类</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工作</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信息</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及时告知公众，增强司法行政工作的透明度。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（三）</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坚持规范导向，强化政务公开</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工作</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质量。严格按照上级要求，进一步推进决策、执行、管理、服务、结果全过程公开，参照</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县</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本级公开目录，深化“公开为原则，不公开为例外”的理念，推行行政决策公开，完善重大行政决策程序规则，规范政策法规与政策解读公开，强化公众参与功能，听取公众对政务信息公开工作的意见和建议，实现政务公开工作规范化标准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黑体" w:hAnsi="黑体" w:eastAsia="黑体" w:cs="黑体"/>
          <w:b w:val="0"/>
          <w:bCs/>
          <w:i w:val="0"/>
          <w:caps w:val="0"/>
          <w:color w:val="auto"/>
          <w:spacing w:val="0"/>
          <w:sz w:val="32"/>
          <w:szCs w:val="32"/>
        </w:rPr>
      </w:pPr>
      <w:r>
        <w:rPr>
          <w:rFonts w:hint="eastAsia" w:ascii="黑体" w:hAnsi="黑体" w:eastAsia="黑体" w:cs="黑体"/>
          <w:b w:val="0"/>
          <w:bCs/>
          <w:i w:val="0"/>
          <w:caps w:val="0"/>
          <w:color w:val="auto"/>
          <w:spacing w:val="0"/>
          <w:sz w:val="32"/>
          <w:szCs w:val="32"/>
          <w:shd w:val="clear" w:fill="FFFFFF"/>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eastAsia="zh-CN"/>
        </w:rPr>
        <w:t>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仿宋_GB2312" w:hAnsi="仿宋_GB2312" w:eastAsia="仿宋_GB2312" w:cs="仿宋_GB2312"/>
          <w:i w:val="0"/>
          <w:caps w:val="0"/>
          <w:color w:val="auto"/>
          <w:spacing w:val="0"/>
          <w:sz w:val="32"/>
          <w:szCs w:val="32"/>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b w:val="0"/>
          <w:bCs/>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auto"/>
          <w:spacing w:val="0"/>
          <w:sz w:val="32"/>
          <w:szCs w:val="32"/>
          <w:shd w:val="clear" w:fill="FFFFFF"/>
          <w:lang w:val="en-US" w:eastAsia="zh-CN"/>
        </w:rPr>
        <w:t>保亭黎族苗族自治县司法局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24"/>
          <w:szCs w:val="24"/>
          <w:shd w:val="clear" w:fill="FFFFFF"/>
          <w:lang w:eastAsia="zh-CN"/>
        </w:rPr>
      </w:pPr>
      <w:r>
        <w:rPr>
          <w:rFonts w:hint="eastAsia" w:ascii="仿宋_GB2312" w:hAnsi="仿宋_GB2312" w:eastAsia="仿宋_GB2312" w:cs="仿宋_GB2312"/>
          <w:i w:val="0"/>
          <w:caps w:val="0"/>
          <w:color w:val="auto"/>
          <w:spacing w:val="0"/>
          <w:sz w:val="32"/>
          <w:szCs w:val="32"/>
          <w:shd w:val="clear" w:fill="FFFFFF"/>
          <w:lang w:val="en-US" w:eastAsia="zh-CN"/>
        </w:rPr>
        <w:t xml:space="preserve">                           2023年1月28日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570DB"/>
    <w:multiLevelType w:val="singleLevel"/>
    <w:tmpl w:val="61F570D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yOTE0M2MyYmU5NWYzMzI3ODc1OThkNGY1ODk4ZGQifQ=="/>
  </w:docVars>
  <w:rsids>
    <w:rsidRoot w:val="3B8D3E36"/>
    <w:rsid w:val="00372771"/>
    <w:rsid w:val="01383417"/>
    <w:rsid w:val="057D7214"/>
    <w:rsid w:val="08545F8B"/>
    <w:rsid w:val="0C5414AD"/>
    <w:rsid w:val="0E4E7EE9"/>
    <w:rsid w:val="0EED0EA3"/>
    <w:rsid w:val="16431874"/>
    <w:rsid w:val="1E790D56"/>
    <w:rsid w:val="204116DC"/>
    <w:rsid w:val="213D6AEB"/>
    <w:rsid w:val="218819D5"/>
    <w:rsid w:val="228F51D7"/>
    <w:rsid w:val="280F1CCC"/>
    <w:rsid w:val="2CCE5CD9"/>
    <w:rsid w:val="326F5A98"/>
    <w:rsid w:val="35595A21"/>
    <w:rsid w:val="389C60A8"/>
    <w:rsid w:val="39C51EF7"/>
    <w:rsid w:val="3A8353ED"/>
    <w:rsid w:val="3B8D3E36"/>
    <w:rsid w:val="3C7579EB"/>
    <w:rsid w:val="3CF84001"/>
    <w:rsid w:val="3F070A46"/>
    <w:rsid w:val="44391466"/>
    <w:rsid w:val="46F809A0"/>
    <w:rsid w:val="4AE866E1"/>
    <w:rsid w:val="4FEF708A"/>
    <w:rsid w:val="4FFD75E7"/>
    <w:rsid w:val="53FE65A5"/>
    <w:rsid w:val="623A719C"/>
    <w:rsid w:val="64AB6ECB"/>
    <w:rsid w:val="673701D0"/>
    <w:rsid w:val="6C6E1D09"/>
    <w:rsid w:val="71B23C01"/>
    <w:rsid w:val="73D72034"/>
    <w:rsid w:val="75E31145"/>
    <w:rsid w:val="79532AA1"/>
    <w:rsid w:val="7B1D440B"/>
    <w:rsid w:val="7CFF6C06"/>
    <w:rsid w:val="7EA53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保亭黎族苗族自治县（保城镇）</Company>
  <Pages>5</Pages>
  <Words>1919</Words>
  <Characters>1951</Characters>
  <Lines>0</Lines>
  <Paragraphs>0</Paragraphs>
  <TotalTime>0</TotalTime>
  <ScaleCrop>false</ScaleCrop>
  <LinksUpToDate>false</LinksUpToDate>
  <CharactersWithSpaces>2153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2022-01-21T00:20:00Z</dcterms:created>
  <dc:creator>Administrator</dc:creator>
  <cp:lastModifiedBy>Administrator</cp:lastModifiedBy>
  <cp:lastPrinted>2022-01-30T00:53:00Z</cp:lastPrinted>
  <dcterms:modified xsi:type="dcterms:W3CDTF">2023-01-28T07:54:57Z</dcterms:modified>
  <dc:title>政府信息公开工作年度报告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5BC82F6EEC4A40ED9A48AE4B7D774E4F</vt:lpwstr>
  </property>
</Properties>
</file>