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2022年保亭县校园食品安全专项抽检监测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项目报价表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报价单位（盖章）：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年  月  日</w:t>
      </w:r>
    </w:p>
    <w:tbl>
      <w:tblPr>
        <w:tblStyle w:val="5"/>
        <w:tblW w:w="14732" w:type="dxa"/>
        <w:jc w:val="center"/>
        <w:tblInd w:w="-1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860"/>
        <w:gridCol w:w="4830"/>
        <w:gridCol w:w="1395"/>
        <w:gridCol w:w="1800"/>
        <w:gridCol w:w="1635"/>
        <w:gridCol w:w="1800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抽检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食品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大类（一级）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食品品种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二、三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级）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抽检任务数量   （批次）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检测费     （元/批次）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抽样费   （元/批次）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抽检经费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粮食加工品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大米、小麦粉、谷物碾磨加工品、谷物粉类制成品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食用油、油脂及其制品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食用植物油（含煎炸用油）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饮料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蛋白饮料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、固体饮料、其他饮料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饼干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饼干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速冻食品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速冻调理肉制品、速冻调制水产制品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薯类和膨化食品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膨化食品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糖果制品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巧克力及巧克力制品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食用农产品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畜禽肉及副产品、蔬菜、水产品、水果类、鲜蛋、生干坚果与籽类食品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2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47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备注说明：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请参与询价的单位参考询价公告的附件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2、附件3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的抽检品种及检验项目进行报价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17F15"/>
    <w:rsid w:val="03362EA3"/>
    <w:rsid w:val="06B11F21"/>
    <w:rsid w:val="0C88506B"/>
    <w:rsid w:val="14455539"/>
    <w:rsid w:val="28827C67"/>
    <w:rsid w:val="35000EAB"/>
    <w:rsid w:val="42946B7C"/>
    <w:rsid w:val="42C320C9"/>
    <w:rsid w:val="43242205"/>
    <w:rsid w:val="48217F15"/>
    <w:rsid w:val="4C111F5E"/>
    <w:rsid w:val="5EDF13B1"/>
    <w:rsid w:val="5FFF7D0E"/>
    <w:rsid w:val="6C9B3506"/>
    <w:rsid w:val="715D2BD1"/>
    <w:rsid w:val="785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871" w:firstLineChars="198"/>
    </w:pPr>
    <w:rPr>
      <w:rFonts w:ascii="仿宋_GB2312" w:eastAsia="仿宋_GB2312"/>
      <w:sz w:val="44"/>
      <w:szCs w:val="3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2020-02-17T08:01:00Z</dcterms:created>
  <dc:creator>亮剑</dc:creator>
  <cp:lastModifiedBy>詹志亮</cp:lastModifiedBy>
  <dcterms:modified xsi:type="dcterms:W3CDTF">2022-07-27T13:38:06Z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