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202</w:t>
      </w:r>
      <w:r>
        <w:rPr>
          <w:rFonts w:hint="eastAsia" w:ascii="宋体" w:hAnsi="宋体" w:cs="宋体"/>
          <w:b/>
          <w:bCs/>
          <w:color w:val="000000"/>
          <w:sz w:val="32"/>
          <w:szCs w:val="32"/>
          <w:lang w:val="en-US" w:eastAsia="zh-CN"/>
        </w:rPr>
        <w:t>2</w:t>
      </w:r>
      <w:r>
        <w:rPr>
          <w:rFonts w:hint="eastAsia" w:ascii="宋体" w:hAnsi="宋体" w:eastAsia="宋体" w:cs="宋体"/>
          <w:b/>
          <w:bCs/>
          <w:color w:val="000000"/>
          <w:sz w:val="32"/>
          <w:szCs w:val="32"/>
          <w:lang w:val="en-US" w:eastAsia="zh-CN"/>
        </w:rPr>
        <w:t>年</w:t>
      </w:r>
      <w:r>
        <w:rPr>
          <w:rFonts w:hint="eastAsia" w:ascii="宋体" w:hAnsi="宋体" w:cs="宋体"/>
          <w:b/>
          <w:bCs/>
          <w:color w:val="000000"/>
          <w:sz w:val="32"/>
          <w:szCs w:val="32"/>
          <w:lang w:val="en-US" w:eastAsia="zh-CN"/>
        </w:rPr>
        <w:t>保亭黎族苗族自治县电动自行车乘员头盔</w:t>
      </w:r>
      <w:r>
        <w:rPr>
          <w:rFonts w:hint="eastAsia" w:ascii="宋体" w:hAnsi="宋体" w:eastAsia="宋体" w:cs="宋体"/>
          <w:b/>
          <w:bCs/>
          <w:color w:val="000000"/>
          <w:sz w:val="32"/>
          <w:szCs w:val="32"/>
        </w:rPr>
        <w:t>产品质量监督抽查实施细则</w:t>
      </w:r>
    </w:p>
    <w:p>
      <w:pPr>
        <w:adjustRightInd w:val="0"/>
        <w:snapToGrid w:val="0"/>
        <w:spacing w:line="594" w:lineRule="exact"/>
        <w:jc w:val="center"/>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以随机抽样的方式在被抽样生产者、销售者的待销产品中抽取。</w:t>
      </w:r>
    </w:p>
    <w:p>
      <w:pPr>
        <w:snapToGrid w:val="0"/>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随机数一般可使用随机数表等方法产生。</w:t>
      </w:r>
    </w:p>
    <w:p>
      <w:pPr>
        <w:snapToGrid w:val="0"/>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每批次产品抽取数量见表1。</w:t>
      </w:r>
    </w:p>
    <w:p>
      <w:pPr>
        <w:keepNext w:val="0"/>
        <w:keepLines w:val="0"/>
        <w:pageBreakBefore w:val="0"/>
        <w:kinsoku/>
        <w:wordWrap/>
        <w:overflowPunct/>
        <w:topLinePunct w:val="0"/>
        <w:autoSpaceDE/>
        <w:autoSpaceDN/>
        <w:bidi w:val="0"/>
        <w:snapToGrid w:val="0"/>
        <w:spacing w:line="560" w:lineRule="exact"/>
        <w:ind w:firstLine="420" w:firstLineChars="20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表</w:t>
      </w:r>
      <w:r>
        <w:rPr>
          <w:rFonts w:hint="eastAsia" w:ascii="宋体" w:hAnsi="宋体" w:eastAsia="宋体" w:cs="宋体"/>
          <w:color w:val="000000"/>
          <w:sz w:val="21"/>
          <w:szCs w:val="21"/>
          <w:lang w:val="en-US" w:eastAsia="zh-CN"/>
        </w:rPr>
        <w:t>1 抽样数量</w:t>
      </w:r>
    </w:p>
    <w:tbl>
      <w:tblPr>
        <w:tblStyle w:val="9"/>
        <w:tblW w:w="8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778"/>
        <w:gridCol w:w="1983"/>
        <w:gridCol w:w="167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6" w:type="dxa"/>
            <w:vAlign w:val="center"/>
          </w:tcPr>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序号</w:t>
            </w:r>
          </w:p>
        </w:tc>
        <w:tc>
          <w:tcPr>
            <w:tcW w:w="1778" w:type="dxa"/>
            <w:vAlign w:val="center"/>
          </w:tcPr>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产品名称</w:t>
            </w:r>
          </w:p>
        </w:tc>
        <w:tc>
          <w:tcPr>
            <w:tcW w:w="1983" w:type="dxa"/>
            <w:vAlign w:val="center"/>
          </w:tcPr>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抽样数量</w:t>
            </w:r>
          </w:p>
        </w:tc>
        <w:tc>
          <w:tcPr>
            <w:tcW w:w="1671" w:type="dxa"/>
            <w:vAlign w:val="center"/>
          </w:tcPr>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宋体" w:hAnsi="宋体" w:eastAsia="宋体" w:cs="宋体"/>
                <w:color w:val="000000"/>
                <w:kern w:val="2"/>
                <w:sz w:val="21"/>
                <w:szCs w:val="21"/>
                <w:vertAlign w:val="baseline"/>
                <w:lang w:val="en-US" w:eastAsia="zh-CN" w:bidi="ar-SA"/>
              </w:rPr>
            </w:pPr>
            <w:r>
              <w:rPr>
                <w:rFonts w:hint="eastAsia" w:ascii="宋体" w:hAnsi="宋体" w:eastAsia="宋体" w:cs="宋体"/>
                <w:color w:val="000000"/>
                <w:sz w:val="21"/>
                <w:szCs w:val="21"/>
                <w:vertAlign w:val="baseline"/>
                <w:lang w:val="en-US" w:eastAsia="zh-CN"/>
              </w:rPr>
              <w:t>检样数量</w:t>
            </w:r>
          </w:p>
        </w:tc>
        <w:tc>
          <w:tcPr>
            <w:tcW w:w="1732" w:type="dxa"/>
            <w:vAlign w:val="center"/>
          </w:tcPr>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宋体" w:hAnsi="宋体" w:eastAsia="宋体" w:cs="宋体"/>
                <w:color w:val="000000"/>
                <w:kern w:val="2"/>
                <w:sz w:val="21"/>
                <w:szCs w:val="21"/>
                <w:vertAlign w:val="baseline"/>
                <w:lang w:val="en-US" w:eastAsia="zh-CN" w:bidi="ar-SA"/>
              </w:rPr>
            </w:pPr>
            <w:r>
              <w:rPr>
                <w:rFonts w:hint="eastAsia" w:ascii="宋体" w:hAnsi="宋体" w:eastAsia="宋体" w:cs="宋体"/>
                <w:color w:val="000000"/>
                <w:sz w:val="21"/>
                <w:szCs w:val="21"/>
                <w:vertAlign w:val="baseline"/>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6" w:type="dxa"/>
            <w:vAlign w:val="center"/>
          </w:tcPr>
          <w:p>
            <w:pPr>
              <w:keepNext w:val="0"/>
              <w:keepLines w:val="0"/>
              <w:widowControl/>
              <w:suppressLineNumbers w:val="0"/>
              <w:jc w:val="center"/>
              <w:textAlignment w:val="center"/>
              <w:rPr>
                <w:rFonts w:hint="eastAsia"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1</w:t>
            </w:r>
          </w:p>
        </w:tc>
        <w:tc>
          <w:tcPr>
            <w:tcW w:w="1778" w:type="dxa"/>
            <w:vAlign w:val="center"/>
          </w:tcPr>
          <w:p>
            <w:pPr>
              <w:keepNext w:val="0"/>
              <w:keepLines w:val="0"/>
              <w:widowControl/>
              <w:suppressLineNumbers w:val="0"/>
              <w:jc w:val="center"/>
              <w:textAlignment w:val="center"/>
              <w:rPr>
                <w:rFonts w:hint="eastAsia"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电动自行车乘员头盔</w:t>
            </w:r>
          </w:p>
        </w:tc>
        <w:tc>
          <w:tcPr>
            <w:tcW w:w="1983"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none"/>
                <w:vertAlign w:val="baseline"/>
                <w:lang w:val="en-US" w:eastAsia="zh-CN"/>
              </w:rPr>
            </w:pPr>
            <w:r>
              <w:rPr>
                <w:rFonts w:hint="eastAsia" w:ascii="宋体" w:hAnsi="宋体" w:cs="宋体"/>
                <w:i w:val="0"/>
                <w:color w:val="000000"/>
                <w:kern w:val="0"/>
                <w:sz w:val="21"/>
                <w:szCs w:val="21"/>
                <w:highlight w:val="none"/>
                <w:u w:val="none"/>
                <w:lang w:val="en-US" w:eastAsia="zh-CN" w:bidi="ar"/>
              </w:rPr>
              <w:t>4</w:t>
            </w:r>
            <w:r>
              <w:rPr>
                <w:rFonts w:hint="eastAsia" w:ascii="宋体" w:hAnsi="宋体" w:eastAsia="宋体" w:cs="宋体"/>
                <w:i w:val="0"/>
                <w:color w:val="000000"/>
                <w:kern w:val="0"/>
                <w:sz w:val="21"/>
                <w:szCs w:val="21"/>
                <w:highlight w:val="none"/>
                <w:u w:val="none"/>
                <w:lang w:val="en-US" w:eastAsia="zh-CN" w:bidi="ar"/>
              </w:rPr>
              <w:t>顶</w:t>
            </w:r>
          </w:p>
        </w:tc>
        <w:tc>
          <w:tcPr>
            <w:tcW w:w="1671"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none"/>
                <w:vertAlign w:val="baseline"/>
                <w:lang w:val="en-US" w:eastAsia="zh-CN"/>
              </w:rPr>
            </w:pPr>
            <w:r>
              <w:rPr>
                <w:rFonts w:hint="eastAsia" w:ascii="宋体" w:hAnsi="宋体" w:cs="宋体"/>
                <w:i w:val="0"/>
                <w:color w:val="000000"/>
                <w:kern w:val="0"/>
                <w:sz w:val="21"/>
                <w:szCs w:val="21"/>
                <w:highlight w:val="none"/>
                <w:u w:val="none"/>
                <w:lang w:val="en-US" w:eastAsia="zh-CN" w:bidi="ar"/>
              </w:rPr>
              <w:t>2</w:t>
            </w:r>
            <w:r>
              <w:rPr>
                <w:rFonts w:hint="eastAsia" w:ascii="宋体" w:hAnsi="宋体" w:eastAsia="宋体" w:cs="宋体"/>
                <w:i w:val="0"/>
                <w:color w:val="000000"/>
                <w:kern w:val="0"/>
                <w:sz w:val="21"/>
                <w:szCs w:val="21"/>
                <w:highlight w:val="none"/>
                <w:u w:val="none"/>
                <w:lang w:val="en-US" w:eastAsia="zh-CN" w:bidi="ar"/>
              </w:rPr>
              <w:t>顶</w:t>
            </w:r>
          </w:p>
        </w:tc>
        <w:tc>
          <w:tcPr>
            <w:tcW w:w="1732"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none"/>
                <w:vertAlign w:val="baseline"/>
                <w:lang w:val="en-US" w:eastAsia="zh-CN"/>
              </w:rPr>
            </w:pPr>
            <w:r>
              <w:rPr>
                <w:rFonts w:hint="eastAsia" w:ascii="宋体" w:hAnsi="宋体" w:cs="宋体"/>
                <w:i w:val="0"/>
                <w:color w:val="000000"/>
                <w:kern w:val="0"/>
                <w:sz w:val="21"/>
                <w:szCs w:val="21"/>
                <w:highlight w:val="none"/>
                <w:u w:val="none"/>
                <w:lang w:val="en-US" w:eastAsia="zh-CN" w:bidi="ar"/>
              </w:rPr>
              <w:t>2</w:t>
            </w:r>
            <w:r>
              <w:rPr>
                <w:rFonts w:hint="eastAsia" w:ascii="宋体" w:hAnsi="宋体" w:eastAsia="宋体" w:cs="宋体"/>
                <w:i w:val="0"/>
                <w:color w:val="000000"/>
                <w:kern w:val="0"/>
                <w:sz w:val="21"/>
                <w:szCs w:val="21"/>
                <w:highlight w:val="none"/>
                <w:u w:val="none"/>
                <w:lang w:val="en-US" w:eastAsia="zh-CN" w:bidi="ar"/>
              </w:rPr>
              <w:t>顶</w:t>
            </w:r>
          </w:p>
        </w:tc>
      </w:tr>
    </w:tbl>
    <w:p>
      <w:pPr>
        <w:keepNext w:val="0"/>
        <w:keepLines w:val="0"/>
        <w:pageBreakBefore w:val="0"/>
        <w:kinsoku/>
        <w:wordWrap/>
        <w:overflowPunct/>
        <w:topLinePunct w:val="0"/>
        <w:autoSpaceDE/>
        <w:autoSpaceDN/>
        <w:bidi w:val="0"/>
        <w:snapToGrid w:val="0"/>
        <w:spacing w:line="560" w:lineRule="exact"/>
        <w:ind w:firstLine="420" w:firstLineChars="200"/>
        <w:jc w:val="center"/>
        <w:textAlignment w:val="auto"/>
        <w:rPr>
          <w:rFonts w:hint="eastAsia" w:ascii="宋体" w:hAnsi="宋体" w:eastAsia="宋体" w:cs="宋体"/>
          <w:color w:val="000000"/>
          <w:sz w:val="21"/>
          <w:szCs w:val="21"/>
          <w:highlight w:val="none"/>
          <w:lang w:val="en-US" w:eastAsia="zh-CN"/>
        </w:rPr>
      </w:pPr>
    </w:p>
    <w:p>
      <w:pPr>
        <w:keepNext w:val="0"/>
        <w:keepLines w:val="0"/>
        <w:pageBreakBefore w:val="0"/>
        <w:kinsoku/>
        <w:wordWrap/>
        <w:overflowPunct/>
        <w:topLinePunct w:val="0"/>
        <w:autoSpaceDE/>
        <w:autoSpaceDN/>
        <w:bidi w:val="0"/>
        <w:snapToGrid w:val="0"/>
        <w:spacing w:line="560" w:lineRule="exact"/>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2 检验依据</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表</w:t>
      </w:r>
      <w:r>
        <w:rPr>
          <w:rFonts w:hint="eastAsia" w:ascii="宋体" w:hAnsi="宋体" w:cs="宋体"/>
          <w:color w:val="000000"/>
          <w:sz w:val="21"/>
          <w:szCs w:val="21"/>
          <w:highlight w:val="none"/>
          <w:lang w:val="en-US" w:eastAsia="zh-CN"/>
        </w:rPr>
        <w:t>2</w:t>
      </w:r>
      <w:r>
        <w:rPr>
          <w:rFonts w:hint="eastAsia" w:ascii="宋体" w:hAnsi="宋体" w:eastAsia="宋体" w:cs="宋体"/>
          <w:color w:val="000000"/>
          <w:sz w:val="21"/>
          <w:szCs w:val="21"/>
          <w:highlight w:val="none"/>
          <w:lang w:val="en-US" w:eastAsia="zh-CN"/>
        </w:rPr>
        <w:t>电动自行车乘员头盔</w:t>
      </w:r>
      <w:r>
        <w:rPr>
          <w:rFonts w:hint="eastAsia" w:ascii="宋体" w:hAnsi="宋体" w:eastAsia="宋体" w:cs="宋体"/>
          <w:color w:val="000000"/>
          <w:sz w:val="21"/>
          <w:szCs w:val="21"/>
          <w:highlight w:val="none"/>
          <w:lang w:eastAsia="zh-CN"/>
        </w:rPr>
        <w:t>检验项目</w:t>
      </w:r>
    </w:p>
    <w:tbl>
      <w:tblPr>
        <w:tblStyle w:val="8"/>
        <w:tblW w:w="7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352"/>
        <w:gridCol w:w="2104"/>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8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序号</w:t>
            </w:r>
          </w:p>
        </w:tc>
        <w:tc>
          <w:tcPr>
            <w:tcW w:w="2352"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检验项目</w:t>
            </w:r>
          </w:p>
        </w:tc>
        <w:tc>
          <w:tcPr>
            <w:tcW w:w="210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执行标准</w:t>
            </w:r>
          </w:p>
        </w:tc>
        <w:tc>
          <w:tcPr>
            <w:tcW w:w="253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2352" w:type="dxa"/>
            <w:vAlign w:val="center"/>
          </w:tcPr>
          <w:p>
            <w:pPr>
              <w:keepNext w:val="0"/>
              <w:keepLines w:val="0"/>
              <w:widowControl/>
              <w:suppressLineNumbers w:val="0"/>
              <w:spacing w:line="240" w:lineRule="auto"/>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val="0"/>
                <w:bCs w:val="0"/>
                <w:sz w:val="21"/>
                <w:szCs w:val="21"/>
                <w:lang w:val="en-US" w:eastAsia="zh-CN"/>
              </w:rPr>
              <w:t>壳体</w:t>
            </w:r>
          </w:p>
        </w:tc>
        <w:tc>
          <w:tcPr>
            <w:tcW w:w="2104" w:type="dxa"/>
            <w:vMerge w:val="restart"/>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GB 24429-2009</w:t>
            </w:r>
          </w:p>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sz w:val="21"/>
                <w:szCs w:val="21"/>
                <w:highlight w:val="none"/>
              </w:rPr>
            </w:pP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GB 24429-2009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p>
        </w:tc>
        <w:tc>
          <w:tcPr>
            <w:tcW w:w="2352" w:type="dxa"/>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val="0"/>
                <w:bCs w:val="0"/>
                <w:sz w:val="21"/>
                <w:szCs w:val="21"/>
                <w:lang w:val="en-US" w:eastAsia="zh-CN"/>
              </w:rPr>
              <w:t>缓冲层</w:t>
            </w:r>
          </w:p>
        </w:tc>
        <w:tc>
          <w:tcPr>
            <w:tcW w:w="2104" w:type="dxa"/>
            <w:vMerge w:val="continue"/>
            <w:vAlign w:val="center"/>
          </w:tcPr>
          <w:p>
            <w:pPr>
              <w:spacing w:line="240" w:lineRule="auto"/>
              <w:jc w:val="center"/>
              <w:rPr>
                <w:rFonts w:hint="eastAsia" w:asciiTheme="minorEastAsia" w:hAnsiTheme="minorEastAsia" w:eastAsiaTheme="minorEastAsia" w:cstheme="minorEastAsia"/>
                <w:sz w:val="21"/>
                <w:szCs w:val="21"/>
                <w:highlight w:val="none"/>
              </w:rPr>
            </w:pP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GB 24429-2009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p>
        </w:tc>
        <w:tc>
          <w:tcPr>
            <w:tcW w:w="2352" w:type="dxa"/>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val="0"/>
                <w:bCs w:val="0"/>
                <w:sz w:val="21"/>
                <w:szCs w:val="21"/>
                <w:lang w:val="en-US" w:eastAsia="zh-CN"/>
              </w:rPr>
              <w:t>舒适衬垫</w:t>
            </w:r>
          </w:p>
        </w:tc>
        <w:tc>
          <w:tcPr>
            <w:tcW w:w="2104" w:type="dxa"/>
            <w:vMerge w:val="continue"/>
            <w:vAlign w:val="center"/>
          </w:tcPr>
          <w:p>
            <w:pPr>
              <w:spacing w:line="240" w:lineRule="auto"/>
              <w:jc w:val="center"/>
              <w:rPr>
                <w:rFonts w:hint="eastAsia" w:asciiTheme="minorEastAsia" w:hAnsiTheme="minorEastAsia" w:eastAsiaTheme="minorEastAsia" w:cstheme="minorEastAsia"/>
                <w:sz w:val="21"/>
                <w:szCs w:val="21"/>
                <w:highlight w:val="none"/>
              </w:rPr>
            </w:pP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GB 24429-2009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w:t>
            </w:r>
          </w:p>
        </w:tc>
        <w:tc>
          <w:tcPr>
            <w:tcW w:w="2352" w:type="dxa"/>
            <w:vAlign w:val="center"/>
          </w:tcPr>
          <w:p>
            <w:pPr>
              <w:keepNext w:val="0"/>
              <w:keepLines w:val="0"/>
              <w:widowControl/>
              <w:suppressLineNumbers w:val="0"/>
              <w:spacing w:line="240" w:lineRule="auto"/>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val="0"/>
                <w:bCs w:val="0"/>
                <w:sz w:val="21"/>
                <w:szCs w:val="21"/>
                <w:lang w:val="en-US" w:eastAsia="zh-CN"/>
              </w:rPr>
              <w:t>佩戴装置</w:t>
            </w:r>
          </w:p>
        </w:tc>
        <w:tc>
          <w:tcPr>
            <w:tcW w:w="2104" w:type="dxa"/>
            <w:vMerge w:val="continue"/>
            <w:vAlign w:val="center"/>
          </w:tcPr>
          <w:p>
            <w:pPr>
              <w:spacing w:line="240" w:lineRule="auto"/>
              <w:jc w:val="center"/>
              <w:rPr>
                <w:rFonts w:hint="eastAsia" w:asciiTheme="minorEastAsia" w:hAnsiTheme="minorEastAsia" w:eastAsiaTheme="minorEastAsia" w:cstheme="minorEastAsia"/>
                <w:sz w:val="21"/>
                <w:szCs w:val="21"/>
                <w:highlight w:val="none"/>
              </w:rPr>
            </w:pP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GB 24429-2009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p>
        </w:tc>
        <w:tc>
          <w:tcPr>
            <w:tcW w:w="2352" w:type="dxa"/>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val="0"/>
                <w:bCs w:val="0"/>
                <w:sz w:val="21"/>
                <w:szCs w:val="21"/>
                <w:lang w:val="en-US" w:eastAsia="zh-CN"/>
              </w:rPr>
              <w:t>保护范围尺寸</w:t>
            </w:r>
          </w:p>
        </w:tc>
        <w:tc>
          <w:tcPr>
            <w:tcW w:w="2104" w:type="dxa"/>
            <w:vMerge w:val="continue"/>
            <w:vAlign w:val="center"/>
          </w:tcPr>
          <w:p>
            <w:pPr>
              <w:spacing w:line="240" w:lineRule="auto"/>
              <w:jc w:val="center"/>
              <w:rPr>
                <w:rFonts w:hint="eastAsia" w:asciiTheme="minorEastAsia" w:hAnsiTheme="minorEastAsia" w:eastAsiaTheme="minorEastAsia" w:cstheme="minorEastAsia"/>
                <w:sz w:val="21"/>
                <w:szCs w:val="21"/>
                <w:highlight w:val="none"/>
              </w:rPr>
            </w:pP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GB 24429-2009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w:t>
            </w:r>
          </w:p>
        </w:tc>
        <w:tc>
          <w:tcPr>
            <w:tcW w:w="2352" w:type="dxa"/>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val="0"/>
                <w:bCs w:val="0"/>
                <w:sz w:val="21"/>
                <w:szCs w:val="21"/>
                <w:lang w:val="en-US" w:eastAsia="zh-CN"/>
              </w:rPr>
              <w:t>头盔质量</w:t>
            </w:r>
          </w:p>
        </w:tc>
        <w:tc>
          <w:tcPr>
            <w:tcW w:w="2104" w:type="dxa"/>
            <w:vMerge w:val="continue"/>
            <w:vAlign w:val="center"/>
          </w:tcPr>
          <w:p>
            <w:pPr>
              <w:spacing w:line="240" w:lineRule="auto"/>
              <w:jc w:val="center"/>
              <w:rPr>
                <w:rFonts w:hint="eastAsia" w:asciiTheme="minorEastAsia" w:hAnsiTheme="minorEastAsia" w:eastAsiaTheme="minorEastAsia" w:cstheme="minorEastAsia"/>
                <w:sz w:val="21"/>
                <w:szCs w:val="21"/>
                <w:highlight w:val="none"/>
              </w:rPr>
            </w:pP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GB 24429-2009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7</w:t>
            </w:r>
          </w:p>
        </w:tc>
        <w:tc>
          <w:tcPr>
            <w:tcW w:w="2352" w:type="dxa"/>
            <w:vAlign w:val="center"/>
          </w:tcPr>
          <w:p>
            <w:pPr>
              <w:keepNext w:val="0"/>
              <w:keepLines w:val="0"/>
              <w:widowControl/>
              <w:suppressLineNumbers w:val="0"/>
              <w:spacing w:line="240" w:lineRule="auto"/>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val="0"/>
                <w:bCs w:val="0"/>
                <w:sz w:val="21"/>
                <w:szCs w:val="21"/>
                <w:lang w:val="en-US" w:eastAsia="zh-CN"/>
              </w:rPr>
              <w:t>头盔视野</w:t>
            </w:r>
          </w:p>
        </w:tc>
        <w:tc>
          <w:tcPr>
            <w:tcW w:w="2104" w:type="dxa"/>
            <w:vMerge w:val="continue"/>
            <w:vAlign w:val="center"/>
          </w:tcPr>
          <w:p>
            <w:pPr>
              <w:spacing w:line="240" w:lineRule="auto"/>
              <w:jc w:val="center"/>
              <w:rPr>
                <w:rFonts w:hint="eastAsia" w:asciiTheme="minorEastAsia" w:hAnsiTheme="minorEastAsia" w:eastAsiaTheme="minorEastAsia" w:cstheme="minorEastAsia"/>
                <w:sz w:val="21"/>
                <w:szCs w:val="21"/>
                <w:highlight w:val="none"/>
              </w:rPr>
            </w:pP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GB 24429-2009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8</w:t>
            </w:r>
          </w:p>
        </w:tc>
        <w:tc>
          <w:tcPr>
            <w:tcW w:w="2352" w:type="dxa"/>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val="0"/>
                <w:bCs w:val="0"/>
                <w:sz w:val="21"/>
                <w:szCs w:val="21"/>
                <w:highlight w:val="none"/>
                <w:lang w:val="en-US" w:eastAsia="zh-CN"/>
              </w:rPr>
              <w:t>头盔佩戴装置稳定性</w:t>
            </w:r>
          </w:p>
        </w:tc>
        <w:tc>
          <w:tcPr>
            <w:tcW w:w="2104" w:type="dxa"/>
            <w:vMerge w:val="continue"/>
            <w:vAlign w:val="center"/>
          </w:tcPr>
          <w:p>
            <w:pPr>
              <w:spacing w:line="240" w:lineRule="auto"/>
              <w:jc w:val="center"/>
              <w:rPr>
                <w:rFonts w:hint="eastAsia" w:asciiTheme="minorEastAsia" w:hAnsiTheme="minorEastAsia" w:eastAsiaTheme="minorEastAsia" w:cstheme="minorEastAsia"/>
                <w:sz w:val="21"/>
                <w:szCs w:val="21"/>
                <w:highlight w:val="none"/>
              </w:rPr>
            </w:pP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GB 24429-2009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9</w:t>
            </w:r>
          </w:p>
        </w:tc>
        <w:tc>
          <w:tcPr>
            <w:tcW w:w="2352" w:type="dxa"/>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val="0"/>
                <w:bCs w:val="0"/>
                <w:sz w:val="21"/>
                <w:szCs w:val="21"/>
                <w:highlight w:val="none"/>
                <w:lang w:val="en-US" w:eastAsia="zh-CN"/>
              </w:rPr>
              <w:t>头盔佩戴装置强度性能</w:t>
            </w:r>
          </w:p>
        </w:tc>
        <w:tc>
          <w:tcPr>
            <w:tcW w:w="2104" w:type="dxa"/>
            <w:vMerge w:val="continue"/>
            <w:vAlign w:val="center"/>
          </w:tcPr>
          <w:p>
            <w:pPr>
              <w:spacing w:line="240" w:lineRule="auto"/>
              <w:jc w:val="center"/>
              <w:rPr>
                <w:rFonts w:hint="eastAsia" w:asciiTheme="minorEastAsia" w:hAnsiTheme="minorEastAsia" w:eastAsiaTheme="minorEastAsia" w:cstheme="minorEastAsia"/>
                <w:sz w:val="21"/>
                <w:szCs w:val="21"/>
                <w:highlight w:val="none"/>
              </w:rPr>
            </w:pPr>
          </w:p>
        </w:tc>
        <w:tc>
          <w:tcPr>
            <w:tcW w:w="2533" w:type="dxa"/>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GB 24429-2009</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000000"/>
          <w:sz w:val="21"/>
          <w:szCs w:val="21"/>
        </w:rPr>
      </w:pPr>
      <w:bookmarkStart w:id="0" w:name="_Hlk40347690"/>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000000"/>
          <w:sz w:val="21"/>
          <w:szCs w:val="21"/>
        </w:rPr>
      </w:pPr>
      <w:bookmarkStart w:id="1" w:name="_GoBack"/>
      <w:bookmarkEnd w:id="1"/>
      <w:r>
        <w:rPr>
          <w:rFonts w:hint="eastAsia" w:ascii="宋体" w:hAnsi="宋体" w:eastAsia="宋体" w:cs="宋体"/>
          <w:color w:val="000000"/>
          <w:sz w:val="21"/>
          <w:szCs w:val="21"/>
        </w:rPr>
        <w:t>执行企业标准、团体标准、地方标准的产品，检验项目参照上述内容执行。</w:t>
      </w:r>
      <w:bookmarkEnd w:id="0"/>
    </w:p>
    <w:p>
      <w:pPr>
        <w:keepNext w:val="0"/>
        <w:keepLines w:val="0"/>
        <w:pageBreakBefore w:val="0"/>
        <w:widowControl w:val="0"/>
        <w:kinsoku/>
        <w:wordWrap/>
        <w:overflowPunct/>
        <w:topLinePunct w:val="0"/>
        <w:autoSpaceDE/>
        <w:autoSpaceDN/>
        <w:bidi w:val="0"/>
        <w:snapToGrid w:val="0"/>
        <w:spacing w:line="440" w:lineRule="exact"/>
        <w:ind w:firstLine="359" w:firstLineChars="171"/>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beforeLines="50" w:line="44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 判定规则</w:t>
      </w:r>
    </w:p>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3.1依据标准</w:t>
      </w:r>
    </w:p>
    <w:p>
      <w:pPr>
        <w:keepNext w:val="0"/>
        <w:keepLines w:val="0"/>
        <w:pageBreakBefore w:val="0"/>
        <w:widowControl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GB 24429-2009 运动头盔 自行车、滑板、轮滑运动头盔的安全要求和试验方法</w:t>
      </w:r>
    </w:p>
    <w:p>
      <w:pPr>
        <w:keepNext w:val="0"/>
        <w:keepLines w:val="0"/>
        <w:pageBreakBefore w:val="0"/>
        <w:widowControl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现行有效的企业标准、团体标准、地方标准及产品明示质量要求</w:t>
      </w:r>
    </w:p>
    <w:p>
      <w:pPr>
        <w:keepNext w:val="0"/>
        <w:keepLines w:val="0"/>
        <w:pageBreakBefore w:val="0"/>
        <w:widowControl w:val="0"/>
        <w:kinsoku/>
        <w:wordWrap/>
        <w:overflowPunct/>
        <w:topLinePunct w:val="0"/>
        <w:autoSpaceDE/>
        <w:autoSpaceDN/>
        <w:bidi w:val="0"/>
        <w:snapToGrid w:val="0"/>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3.2判定原则</w:t>
      </w:r>
    </w:p>
    <w:p>
      <w:pPr>
        <w:keepNext w:val="0"/>
        <w:keepLines w:val="0"/>
        <w:pageBreakBefore w:val="0"/>
        <w:widowControl w:val="0"/>
        <w:kinsoku/>
        <w:wordWrap/>
        <w:overflowPunct/>
        <w:topLinePunct w:val="0"/>
        <w:autoSpaceDE/>
        <w:autoSpaceDN/>
        <w:bidi w:val="0"/>
        <w:snapToGrid w:val="0"/>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经检验，检验项目全部合格，判定为被抽查产品合格；检验项目中任一项或一项以上不合格，判定为被抽查产品不合格。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firstLine="417" w:firstLineChars="199"/>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firstLine="417" w:firstLineChars="199"/>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firstLine="417" w:firstLineChars="199"/>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firstLine="417" w:firstLineChars="199"/>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firstLine="417" w:firstLineChars="199"/>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若被检产品明示的质量要求缺少本细则中检验项目依据的推荐性标准要求时，该项目不参与判定。</w:t>
      </w: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cs="宋体"/>
        <w:sz w:val="21"/>
        <w:szCs w:val="21"/>
      </w:rPr>
    </w:pPr>
    <w:r>
      <w:rPr>
        <w:rFonts w:ascii="宋体" w:hAnsi="宋体" w:cs="宋体"/>
        <w:sz w:val="21"/>
        <w:szCs w:val="21"/>
        <w:lang w:val="zh-CN"/>
      </w:rPr>
      <w:fldChar w:fldCharType="begin"/>
    </w:r>
    <w:r>
      <w:rPr>
        <w:rFonts w:ascii="宋体" w:hAnsi="宋体" w:cs="宋体"/>
        <w:sz w:val="21"/>
        <w:szCs w:val="21"/>
        <w:lang w:val="zh-CN"/>
      </w:rPr>
      <w:instrText xml:space="preserve"> PAGE   \* MERGEFORMAT </w:instrText>
    </w:r>
    <w:r>
      <w:rPr>
        <w:rFonts w:ascii="宋体" w:hAnsi="宋体" w:cs="宋体"/>
        <w:sz w:val="21"/>
        <w:szCs w:val="21"/>
        <w:lang w:val="zh-CN"/>
      </w:rPr>
      <w:fldChar w:fldCharType="separate"/>
    </w:r>
    <w:r>
      <w:rPr>
        <w:rFonts w:ascii="宋体" w:hAnsi="宋体" w:cs="宋体"/>
        <w:sz w:val="21"/>
        <w:szCs w:val="21"/>
        <w:lang w:val="en-US"/>
      </w:rPr>
      <w:t>1</w:t>
    </w:r>
    <w:r>
      <w:rPr>
        <w:rFonts w:ascii="宋体" w:hAnsi="宋体" w:cs="宋体"/>
        <w:sz w:val="21"/>
        <w:szCs w:val="21"/>
        <w:lang w:val="zh-CN"/>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MjYwNjUyZTczYjFlMzFlMTBmYmRiMDZlODU2ZTgifQ=="/>
  </w:docVars>
  <w:rsids>
    <w:rsidRoot w:val="00172A27"/>
    <w:rsid w:val="00042073"/>
    <w:rsid w:val="00044395"/>
    <w:rsid w:val="00051A44"/>
    <w:rsid w:val="00067341"/>
    <w:rsid w:val="00075F11"/>
    <w:rsid w:val="00081CBD"/>
    <w:rsid w:val="00094077"/>
    <w:rsid w:val="000976DE"/>
    <w:rsid w:val="000B4710"/>
    <w:rsid w:val="000D3400"/>
    <w:rsid w:val="000D5D4E"/>
    <w:rsid w:val="000E1BEC"/>
    <w:rsid w:val="000E6F29"/>
    <w:rsid w:val="000F03DF"/>
    <w:rsid w:val="000F3729"/>
    <w:rsid w:val="00145507"/>
    <w:rsid w:val="0015727A"/>
    <w:rsid w:val="00164FF8"/>
    <w:rsid w:val="001710C3"/>
    <w:rsid w:val="00172A27"/>
    <w:rsid w:val="001809DD"/>
    <w:rsid w:val="00194335"/>
    <w:rsid w:val="001B6212"/>
    <w:rsid w:val="001C1BB2"/>
    <w:rsid w:val="001E2620"/>
    <w:rsid w:val="001E5FEE"/>
    <w:rsid w:val="002209DD"/>
    <w:rsid w:val="002301B8"/>
    <w:rsid w:val="00235A62"/>
    <w:rsid w:val="0025350A"/>
    <w:rsid w:val="00253624"/>
    <w:rsid w:val="002619B0"/>
    <w:rsid w:val="002623DD"/>
    <w:rsid w:val="0027151F"/>
    <w:rsid w:val="002A5458"/>
    <w:rsid w:val="002B5408"/>
    <w:rsid w:val="002D3385"/>
    <w:rsid w:val="002D4076"/>
    <w:rsid w:val="002D7F8A"/>
    <w:rsid w:val="002E0D1D"/>
    <w:rsid w:val="002E792F"/>
    <w:rsid w:val="003203A3"/>
    <w:rsid w:val="0034769B"/>
    <w:rsid w:val="00357AC7"/>
    <w:rsid w:val="003640ED"/>
    <w:rsid w:val="003C388C"/>
    <w:rsid w:val="003E61BF"/>
    <w:rsid w:val="003F553F"/>
    <w:rsid w:val="004206DA"/>
    <w:rsid w:val="004437D9"/>
    <w:rsid w:val="00445E86"/>
    <w:rsid w:val="0046458B"/>
    <w:rsid w:val="00474E04"/>
    <w:rsid w:val="004A64B5"/>
    <w:rsid w:val="004C761F"/>
    <w:rsid w:val="004D0C5A"/>
    <w:rsid w:val="004E1396"/>
    <w:rsid w:val="004F555A"/>
    <w:rsid w:val="0051162F"/>
    <w:rsid w:val="00541BF7"/>
    <w:rsid w:val="00563EBC"/>
    <w:rsid w:val="00597FA2"/>
    <w:rsid w:val="005B0B4F"/>
    <w:rsid w:val="005F353F"/>
    <w:rsid w:val="006056EB"/>
    <w:rsid w:val="0061086F"/>
    <w:rsid w:val="00662229"/>
    <w:rsid w:val="006713D6"/>
    <w:rsid w:val="00692B5B"/>
    <w:rsid w:val="00693B8F"/>
    <w:rsid w:val="006971BF"/>
    <w:rsid w:val="006A4B8F"/>
    <w:rsid w:val="006F0971"/>
    <w:rsid w:val="00715923"/>
    <w:rsid w:val="0072334C"/>
    <w:rsid w:val="007235B4"/>
    <w:rsid w:val="007408F6"/>
    <w:rsid w:val="007652A4"/>
    <w:rsid w:val="007A39F0"/>
    <w:rsid w:val="007B5BD5"/>
    <w:rsid w:val="007C60F1"/>
    <w:rsid w:val="007E1E99"/>
    <w:rsid w:val="007E6900"/>
    <w:rsid w:val="007F047E"/>
    <w:rsid w:val="00822D40"/>
    <w:rsid w:val="008839CD"/>
    <w:rsid w:val="00895BEA"/>
    <w:rsid w:val="008A3497"/>
    <w:rsid w:val="008B2694"/>
    <w:rsid w:val="00902779"/>
    <w:rsid w:val="009100B4"/>
    <w:rsid w:val="00917A54"/>
    <w:rsid w:val="00990873"/>
    <w:rsid w:val="009A6948"/>
    <w:rsid w:val="00A23F52"/>
    <w:rsid w:val="00A43553"/>
    <w:rsid w:val="00A52698"/>
    <w:rsid w:val="00A714C4"/>
    <w:rsid w:val="00A81A11"/>
    <w:rsid w:val="00AB406F"/>
    <w:rsid w:val="00AB5364"/>
    <w:rsid w:val="00AD1F0D"/>
    <w:rsid w:val="00B00A02"/>
    <w:rsid w:val="00B11BDC"/>
    <w:rsid w:val="00B21814"/>
    <w:rsid w:val="00B501D0"/>
    <w:rsid w:val="00B71C88"/>
    <w:rsid w:val="00B80796"/>
    <w:rsid w:val="00B90291"/>
    <w:rsid w:val="00BA3F4E"/>
    <w:rsid w:val="00BA571D"/>
    <w:rsid w:val="00BA612B"/>
    <w:rsid w:val="00BB6A5D"/>
    <w:rsid w:val="00BD1FD8"/>
    <w:rsid w:val="00C116DD"/>
    <w:rsid w:val="00C26074"/>
    <w:rsid w:val="00C61942"/>
    <w:rsid w:val="00C83B0A"/>
    <w:rsid w:val="00C94B32"/>
    <w:rsid w:val="00CA078C"/>
    <w:rsid w:val="00CE1E0C"/>
    <w:rsid w:val="00CE277E"/>
    <w:rsid w:val="00D02FE3"/>
    <w:rsid w:val="00D1749D"/>
    <w:rsid w:val="00D56867"/>
    <w:rsid w:val="00D822C3"/>
    <w:rsid w:val="00DE52A3"/>
    <w:rsid w:val="00DE59CE"/>
    <w:rsid w:val="00E02A7F"/>
    <w:rsid w:val="00E07880"/>
    <w:rsid w:val="00E207FA"/>
    <w:rsid w:val="00E60E75"/>
    <w:rsid w:val="00E72135"/>
    <w:rsid w:val="00E722A0"/>
    <w:rsid w:val="00E75D62"/>
    <w:rsid w:val="00E76709"/>
    <w:rsid w:val="00E76F36"/>
    <w:rsid w:val="00E82621"/>
    <w:rsid w:val="00ED4B24"/>
    <w:rsid w:val="00F110BB"/>
    <w:rsid w:val="00F17854"/>
    <w:rsid w:val="00F36E11"/>
    <w:rsid w:val="00F61C45"/>
    <w:rsid w:val="00F77C9A"/>
    <w:rsid w:val="00F824D9"/>
    <w:rsid w:val="00F954E2"/>
    <w:rsid w:val="00FA2CA5"/>
    <w:rsid w:val="00FB576C"/>
    <w:rsid w:val="00FD2AA6"/>
    <w:rsid w:val="00FD6AFF"/>
    <w:rsid w:val="00FE7E8A"/>
    <w:rsid w:val="02446A91"/>
    <w:rsid w:val="024D317E"/>
    <w:rsid w:val="03065425"/>
    <w:rsid w:val="05FF7686"/>
    <w:rsid w:val="07455335"/>
    <w:rsid w:val="099B02C0"/>
    <w:rsid w:val="0B4E0A10"/>
    <w:rsid w:val="0E0D0C7E"/>
    <w:rsid w:val="117B32BD"/>
    <w:rsid w:val="120922CC"/>
    <w:rsid w:val="125A6D34"/>
    <w:rsid w:val="13162351"/>
    <w:rsid w:val="131C621F"/>
    <w:rsid w:val="166D6AE7"/>
    <w:rsid w:val="18EA1E42"/>
    <w:rsid w:val="1C256BCA"/>
    <w:rsid w:val="1DAC38C3"/>
    <w:rsid w:val="213920B6"/>
    <w:rsid w:val="22226991"/>
    <w:rsid w:val="26497204"/>
    <w:rsid w:val="29F33D10"/>
    <w:rsid w:val="2AEF6C27"/>
    <w:rsid w:val="2E5D1C28"/>
    <w:rsid w:val="2F243479"/>
    <w:rsid w:val="2F4C28CF"/>
    <w:rsid w:val="2FC259E3"/>
    <w:rsid w:val="31B40797"/>
    <w:rsid w:val="32BC6A44"/>
    <w:rsid w:val="35D05CB2"/>
    <w:rsid w:val="39C26CD1"/>
    <w:rsid w:val="39FD1B82"/>
    <w:rsid w:val="3AFD2B1C"/>
    <w:rsid w:val="3B0928E6"/>
    <w:rsid w:val="3C6613A2"/>
    <w:rsid w:val="3EA50BB7"/>
    <w:rsid w:val="3EEB7F48"/>
    <w:rsid w:val="3FC45AA6"/>
    <w:rsid w:val="42B41EC4"/>
    <w:rsid w:val="436E1ED5"/>
    <w:rsid w:val="43CF5613"/>
    <w:rsid w:val="44497604"/>
    <w:rsid w:val="45BE672D"/>
    <w:rsid w:val="463967B1"/>
    <w:rsid w:val="46E737E6"/>
    <w:rsid w:val="46F877C2"/>
    <w:rsid w:val="47CB736B"/>
    <w:rsid w:val="48086879"/>
    <w:rsid w:val="489B1C01"/>
    <w:rsid w:val="48B214BE"/>
    <w:rsid w:val="4D5C31E3"/>
    <w:rsid w:val="4D675F6F"/>
    <w:rsid w:val="50636A86"/>
    <w:rsid w:val="50CC3230"/>
    <w:rsid w:val="516F6AD4"/>
    <w:rsid w:val="52197FA9"/>
    <w:rsid w:val="53960078"/>
    <w:rsid w:val="53B27A50"/>
    <w:rsid w:val="550E5435"/>
    <w:rsid w:val="55101A0D"/>
    <w:rsid w:val="558356C5"/>
    <w:rsid w:val="5715782F"/>
    <w:rsid w:val="57F703E7"/>
    <w:rsid w:val="59635BFA"/>
    <w:rsid w:val="5AA23B31"/>
    <w:rsid w:val="5C094C8E"/>
    <w:rsid w:val="5E061250"/>
    <w:rsid w:val="5E241D43"/>
    <w:rsid w:val="5EC63C9B"/>
    <w:rsid w:val="5EFE330D"/>
    <w:rsid w:val="5FE77CE8"/>
    <w:rsid w:val="60A47A52"/>
    <w:rsid w:val="60A60A51"/>
    <w:rsid w:val="62321924"/>
    <w:rsid w:val="62B80FD9"/>
    <w:rsid w:val="632D0425"/>
    <w:rsid w:val="64C37830"/>
    <w:rsid w:val="6589211E"/>
    <w:rsid w:val="67F87BB6"/>
    <w:rsid w:val="686874DA"/>
    <w:rsid w:val="68B166E3"/>
    <w:rsid w:val="68B85398"/>
    <w:rsid w:val="68DC3618"/>
    <w:rsid w:val="6D3832E1"/>
    <w:rsid w:val="6E250229"/>
    <w:rsid w:val="70A530F4"/>
    <w:rsid w:val="711A422A"/>
    <w:rsid w:val="71D750D8"/>
    <w:rsid w:val="74CE7542"/>
    <w:rsid w:val="757271D1"/>
    <w:rsid w:val="75BB472E"/>
    <w:rsid w:val="76231340"/>
    <w:rsid w:val="774848A6"/>
    <w:rsid w:val="78BB74D8"/>
    <w:rsid w:val="796778A8"/>
    <w:rsid w:val="7DC67299"/>
    <w:rsid w:val="7DD42014"/>
    <w:rsid w:val="7E1352F2"/>
    <w:rsid w:val="7FC220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rPr>
      <w:rFonts w:ascii="Calibri" w:hAnsi="Calibri" w:cs="Calibri"/>
    </w:rPr>
  </w:style>
  <w:style w:type="paragraph" w:styleId="3">
    <w:name w:val="table of authorities"/>
    <w:basedOn w:val="1"/>
    <w:next w:val="1"/>
    <w:unhideWhenUsed/>
    <w:qFormat/>
    <w:uiPriority w:val="99"/>
    <w:pPr>
      <w:ind w:left="420" w:leftChars="200"/>
    </w:pPr>
  </w:style>
  <w:style w:type="paragraph" w:styleId="4">
    <w:name w:val="Body Text Indent"/>
    <w:basedOn w:val="1"/>
    <w:link w:val="17"/>
    <w:qFormat/>
    <w:uiPriority w:val="99"/>
    <w:pPr>
      <w:ind w:firstLine="600" w:firstLineChars="200"/>
    </w:pPr>
    <w:rPr>
      <w:rFonts w:eastAsia="仿宋_GB2312"/>
      <w:sz w:val="24"/>
      <w:szCs w:val="24"/>
    </w:rPr>
  </w:style>
  <w:style w:type="paragraph" w:styleId="5">
    <w:name w:val="Balloon Text"/>
    <w:basedOn w:val="1"/>
    <w:link w:val="20"/>
    <w:semiHidden/>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semiHidden/>
    <w:unhideWhenUsed/>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style>
  <w:style w:type="character" w:customStyle="1" w:styleId="12">
    <w:name w:val="页脚 Char"/>
    <w:link w:val="6"/>
    <w:qFormat/>
    <w:locked/>
    <w:uiPriority w:val="99"/>
    <w:rPr>
      <w:kern w:val="2"/>
      <w:sz w:val="18"/>
      <w:szCs w:val="18"/>
    </w:rPr>
  </w:style>
  <w:style w:type="character" w:customStyle="1" w:styleId="13">
    <w:name w:val="页眉 Char"/>
    <w:link w:val="7"/>
    <w:semiHidden/>
    <w:qFormat/>
    <w:locked/>
    <w:uiPriority w:val="99"/>
    <w:rPr>
      <w:kern w:val="2"/>
      <w:sz w:val="18"/>
      <w:szCs w:val="18"/>
    </w:rPr>
  </w:style>
  <w:style w:type="character" w:customStyle="1" w:styleId="14">
    <w:name w:val="Footer Char1"/>
    <w:semiHidden/>
    <w:qFormat/>
    <w:uiPriority w:val="99"/>
    <w:rPr>
      <w:sz w:val="18"/>
      <w:szCs w:val="18"/>
    </w:rPr>
  </w:style>
  <w:style w:type="character" w:customStyle="1" w:styleId="15">
    <w:name w:val="Header Char1"/>
    <w:semiHidden/>
    <w:qFormat/>
    <w:uiPriority w:val="99"/>
    <w:rPr>
      <w:sz w:val="18"/>
      <w:szCs w:val="18"/>
    </w:rPr>
  </w:style>
  <w:style w:type="paragraph" w:customStyle="1" w:styleId="16">
    <w:name w:val="_Style 67"/>
    <w:basedOn w:val="1"/>
    <w:next w:val="1"/>
    <w:qFormat/>
    <w:uiPriority w:val="99"/>
    <w:pPr>
      <w:widowControl/>
      <w:spacing w:line="360" w:lineRule="auto"/>
      <w:ind w:firstLine="420" w:firstLineChars="200"/>
      <w:jc w:val="left"/>
    </w:pPr>
    <w:rPr>
      <w:rFonts w:ascii="Calibri" w:hAnsi="Calibri" w:eastAsia="微软雅黑" w:cs="Calibri"/>
      <w:sz w:val="24"/>
      <w:szCs w:val="24"/>
    </w:rPr>
  </w:style>
  <w:style w:type="character" w:customStyle="1" w:styleId="17">
    <w:name w:val="正文文本缩进 Char"/>
    <w:link w:val="4"/>
    <w:qFormat/>
    <w:locked/>
    <w:uiPriority w:val="99"/>
    <w:rPr>
      <w:rFonts w:eastAsia="仿宋_GB2312"/>
      <w:kern w:val="2"/>
      <w:sz w:val="24"/>
      <w:szCs w:val="24"/>
    </w:rPr>
  </w:style>
  <w:style w:type="character" w:customStyle="1" w:styleId="18">
    <w:name w:val="Body Text Indent Char1"/>
    <w:semiHidden/>
    <w:qFormat/>
    <w:uiPriority w:val="99"/>
    <w:rPr>
      <w:szCs w:val="21"/>
    </w:rPr>
  </w:style>
  <w:style w:type="character" w:customStyle="1" w:styleId="19">
    <w:name w:val="正文文本缩进 字符"/>
    <w:semiHidden/>
    <w:qFormat/>
    <w:uiPriority w:val="99"/>
    <w:rPr>
      <w:kern w:val="2"/>
      <w:sz w:val="24"/>
      <w:szCs w:val="24"/>
    </w:rPr>
  </w:style>
  <w:style w:type="character" w:customStyle="1" w:styleId="20">
    <w:name w:val="批注框文本 Char"/>
    <w:link w:val="5"/>
    <w:semiHidden/>
    <w:qFormat/>
    <w:locked/>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683</Words>
  <Characters>811</Characters>
  <Lines>25</Lines>
  <Paragraphs>7</Paragraphs>
  <TotalTime>1</TotalTime>
  <ScaleCrop>false</ScaleCrop>
  <LinksUpToDate>false</LinksUpToDate>
  <CharactersWithSpaces>829</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2019-12-18T07:49:00Z</dcterms:created>
  <dc:creator>Legend User</dc:creator>
  <cp:lastModifiedBy>Administrator</cp:lastModifiedBy>
  <cp:lastPrinted>2020-08-24T03:42:00Z</cp:lastPrinted>
  <dcterms:modified xsi:type="dcterms:W3CDTF">2022-07-28T02:39:04Z</dcterms:modified>
  <dc:title>××产品质量监督抽查实施细则</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3BDC8C4D849A4796958CE675267E90F6</vt:lpwstr>
  </property>
</Properties>
</file>