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530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0"/>
        <w:rPr>
          <w:rFonts w:hint="default" w:ascii="黑体" w:hAnsi="黑体" w:eastAsia="黑体" w:cs="黑体"/>
          <w:color w:val="auto"/>
          <w:kern w:val="2"/>
          <w:sz w:val="32"/>
          <w:szCs w:val="32"/>
          <w:highlight w:val="none"/>
          <w:lang w:val="en-US" w:eastAsia="zh-CN"/>
        </w:rPr>
      </w:pPr>
    </w:p>
    <w:p w14:paraId="7381A7CA">
      <w:pPr>
        <w:overflowPunct/>
        <w:topLinePunct w:val="0"/>
        <w:snapToGrid w:val="0"/>
        <w:spacing w:line="240" w:lineRule="auto"/>
        <w:ind w:firstLine="0" w:firstLineChars="0"/>
        <w:jc w:val="center"/>
        <w:rPr>
          <w:rFonts w:hint="eastAsia" w:ascii="Times New Roman" w:hAnsi="Times New Roman" w:eastAsia="方正小标宋_GBK"/>
          <w:color w:val="auto"/>
          <w:kern w:val="2"/>
          <w:sz w:val="48"/>
          <w:szCs w:val="48"/>
          <w:highlight w:val="none"/>
          <w:lang w:val="en-US" w:eastAsia="zh-CN"/>
        </w:rPr>
      </w:pPr>
    </w:p>
    <w:p w14:paraId="28DA29A7">
      <w:pPr>
        <w:overflowPunct/>
        <w:topLinePunct w:val="0"/>
        <w:snapToGrid w:val="0"/>
        <w:spacing w:line="240" w:lineRule="auto"/>
        <w:ind w:firstLine="0" w:firstLineChars="0"/>
        <w:jc w:val="center"/>
        <w:rPr>
          <w:rFonts w:hint="eastAsia" w:ascii="Times New Roman" w:hAnsi="Times New Roman" w:eastAsia="方正小标宋_GBK"/>
          <w:color w:val="auto"/>
          <w:kern w:val="2"/>
          <w:sz w:val="48"/>
          <w:szCs w:val="48"/>
          <w:highlight w:val="none"/>
          <w:lang w:val="en-US" w:eastAsia="zh-CN"/>
        </w:rPr>
      </w:pPr>
    </w:p>
    <w:p w14:paraId="61AD3831">
      <w:pPr>
        <w:overflowPunct/>
        <w:topLinePunct w:val="0"/>
        <w:snapToGrid w:val="0"/>
        <w:spacing w:line="240" w:lineRule="auto"/>
        <w:ind w:firstLine="0" w:firstLineChars="0"/>
        <w:jc w:val="center"/>
        <w:rPr>
          <w:rFonts w:hint="eastAsia" w:ascii="Times New Roman" w:hAnsi="Times New Roman" w:eastAsia="方正小标宋_GBK"/>
          <w:color w:val="auto"/>
          <w:kern w:val="2"/>
          <w:sz w:val="48"/>
          <w:szCs w:val="48"/>
          <w:highlight w:val="none"/>
          <w:lang w:val="en-US" w:eastAsia="zh-CN"/>
        </w:rPr>
      </w:pPr>
    </w:p>
    <w:p w14:paraId="5FD95F68">
      <w:pPr>
        <w:overflowPunct/>
        <w:topLinePunct w:val="0"/>
        <w:snapToGrid w:val="0"/>
        <w:spacing w:line="240" w:lineRule="auto"/>
        <w:ind w:firstLine="0" w:firstLineChars="0"/>
        <w:jc w:val="center"/>
        <w:rPr>
          <w:rFonts w:hint="eastAsia" w:ascii="Times New Roman" w:hAnsi="Times New Roman" w:eastAsia="方正小标宋_GBK"/>
          <w:color w:val="auto"/>
          <w:kern w:val="2"/>
          <w:sz w:val="48"/>
          <w:szCs w:val="48"/>
          <w:highlight w:val="none"/>
          <w:lang w:val="en-US" w:eastAsia="zh-CN"/>
        </w:rPr>
      </w:pPr>
    </w:p>
    <w:p w14:paraId="5A906E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0"/>
        <w:rPr>
          <w:rFonts w:hint="eastAsia" w:ascii="方正小标宋_GBK" w:hAnsi="方正小标宋_GBK" w:eastAsia="方正小标宋_GBK" w:cs="方正小标宋_GBK"/>
          <w:color w:val="auto"/>
          <w:kern w:val="2"/>
          <w:sz w:val="48"/>
          <w:szCs w:val="48"/>
          <w:highlight w:val="none"/>
          <w:lang w:val="en-US" w:eastAsia="zh-CN"/>
        </w:rPr>
      </w:pPr>
      <w:bookmarkStart w:id="0" w:name="_Toc3454"/>
      <w:bookmarkStart w:id="1" w:name="_Toc18126"/>
      <w:bookmarkStart w:id="2" w:name="_Toc18937"/>
      <w:r>
        <w:rPr>
          <w:rFonts w:hint="eastAsia" w:ascii="方正小标宋_GBK" w:hAnsi="方正小标宋_GBK" w:eastAsia="方正小标宋_GBK" w:cs="方正小标宋_GBK"/>
          <w:color w:val="auto"/>
          <w:kern w:val="2"/>
          <w:sz w:val="48"/>
          <w:szCs w:val="48"/>
          <w:highlight w:val="none"/>
        </w:rPr>
        <w:t>海南省</w:t>
      </w:r>
      <w:r>
        <w:rPr>
          <w:rFonts w:hint="eastAsia" w:ascii="方正小标宋_GBK" w:hAnsi="方正小标宋_GBK" w:eastAsia="方正小标宋_GBK" w:cs="方正小标宋_GBK"/>
          <w:color w:val="auto"/>
          <w:kern w:val="2"/>
          <w:sz w:val="48"/>
          <w:szCs w:val="48"/>
          <w:highlight w:val="none"/>
          <w:lang w:val="en-US" w:eastAsia="zh-CN"/>
        </w:rPr>
        <w:t>保亭黎族苗族自治县</w:t>
      </w:r>
      <w:r>
        <w:rPr>
          <w:rFonts w:hint="eastAsia" w:ascii="方正小标宋_GBK" w:hAnsi="方正小标宋_GBK" w:eastAsia="方正小标宋_GBK" w:cs="方正小标宋_GBK"/>
          <w:color w:val="auto"/>
          <w:kern w:val="2"/>
          <w:sz w:val="48"/>
          <w:szCs w:val="48"/>
          <w:highlight w:val="none"/>
        </w:rPr>
        <w:t>生态环境分区管控</w:t>
      </w:r>
      <w:r>
        <w:rPr>
          <w:rFonts w:hint="eastAsia" w:ascii="方正小标宋_GBK" w:hAnsi="方正小标宋_GBK" w:eastAsia="方正小标宋_GBK" w:cs="方正小标宋_GBK"/>
          <w:color w:val="auto"/>
          <w:kern w:val="2"/>
          <w:sz w:val="48"/>
          <w:szCs w:val="48"/>
          <w:highlight w:val="none"/>
          <w:lang w:val="en-US" w:eastAsia="zh-CN"/>
        </w:rPr>
        <w:t>方案（2025年版）</w:t>
      </w:r>
      <w:bookmarkEnd w:id="0"/>
      <w:bookmarkEnd w:id="1"/>
      <w:bookmarkEnd w:id="2"/>
    </w:p>
    <w:p w14:paraId="52DF1C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黑体" w:hAnsi="黑体" w:eastAsia="黑体" w:cs="黑体"/>
          <w:color w:val="auto"/>
          <w:kern w:val="2"/>
          <w:sz w:val="32"/>
          <w:szCs w:val="32"/>
          <w:highlight w:val="none"/>
          <w:lang w:val="en-US" w:eastAsia="zh-CN"/>
        </w:rPr>
      </w:pPr>
    </w:p>
    <w:p w14:paraId="367290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61E40B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745E8C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4831A2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334274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11CB99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ascii="Times New Roman" w:hAnsi="Times New Roman" w:eastAsia="方正小标宋_GBK"/>
          <w:color w:val="auto"/>
          <w:kern w:val="2"/>
          <w:sz w:val="48"/>
          <w:szCs w:val="48"/>
          <w:highlight w:val="none"/>
        </w:rPr>
      </w:pPr>
    </w:p>
    <w:p w14:paraId="260E741E">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775A5A6A">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1E0AEFF5">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3D6A3F15">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018ECE4D">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4A4A344E">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4704AD07">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625BBE96">
      <w:pPr>
        <w:spacing w:before="0" w:beforeLines="0" w:after="0" w:afterLines="0" w:line="240" w:lineRule="auto"/>
        <w:ind w:left="0" w:leftChars="0" w:right="0" w:rightChars="0" w:firstLine="0" w:firstLineChars="0"/>
        <w:jc w:val="center"/>
        <w:rPr>
          <w:rFonts w:hint="eastAsia" w:eastAsia="黑体"/>
          <w:color w:val="auto"/>
          <w:sz w:val="32"/>
          <w:szCs w:val="32"/>
          <w:highlight w:val="none"/>
          <w:lang w:val="en-US" w:eastAsia="zh-CN"/>
        </w:rPr>
      </w:pPr>
    </w:p>
    <w:p w14:paraId="589C52ED">
      <w:pPr>
        <w:spacing w:before="0" w:beforeLines="0" w:after="0" w:afterLines="0" w:line="240" w:lineRule="auto"/>
        <w:ind w:left="0" w:leftChars="0" w:right="0" w:rightChars="0" w:firstLine="0" w:firstLineChars="0"/>
        <w:jc w:val="center"/>
        <w:rPr>
          <w:rFonts w:hint="default" w:ascii="Times New Roman" w:hAnsi="Times New Roman" w:eastAsia="黑体"/>
          <w:color w:val="auto"/>
          <w:sz w:val="32"/>
          <w:szCs w:val="32"/>
          <w:highlight w:val="none"/>
          <w:lang w:val="en-US" w:eastAsia="zh-CN"/>
        </w:rPr>
      </w:pPr>
      <w:r>
        <w:rPr>
          <w:rFonts w:hint="eastAsia" w:eastAsia="黑体"/>
          <w:color w:val="auto"/>
          <w:sz w:val="32"/>
          <w:szCs w:val="32"/>
          <w:highlight w:val="none"/>
          <w:lang w:val="en-US" w:eastAsia="zh-CN"/>
        </w:rPr>
        <w:t>保亭黎族苗族自治县生态环境局</w:t>
      </w:r>
    </w:p>
    <w:p w14:paraId="524420A5">
      <w:pPr>
        <w:spacing w:before="0" w:beforeLines="0" w:after="0" w:afterLines="0" w:line="240" w:lineRule="auto"/>
        <w:ind w:left="0" w:leftChars="0" w:right="0" w:rightChars="0" w:firstLine="0" w:firstLineChars="0"/>
        <w:jc w:val="center"/>
        <w:rPr>
          <w:rFonts w:hint="default" w:ascii="Times New Roman" w:hAnsi="Times New Roman" w:eastAsia="黑体"/>
          <w:color w:val="auto"/>
          <w:sz w:val="32"/>
          <w:szCs w:val="32"/>
          <w:highlight w:val="none"/>
          <w:lang w:val="en-US" w:eastAsia="zh-CN"/>
        </w:rPr>
      </w:pPr>
    </w:p>
    <w:p w14:paraId="11E116BF">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highlight w:val="none"/>
          <w:lang w:val="en-US" w:eastAsia="zh-CN" w:bidi="ar-SA"/>
        </w:rPr>
        <w:sectPr>
          <w:headerReference r:id="rId5" w:type="default"/>
          <w:footerReference r:id="rId6" w:type="default"/>
          <w:pgSz w:w="11906" w:h="16838"/>
          <w:pgMar w:top="2098" w:right="1474" w:bottom="1984" w:left="1587" w:header="1417" w:footer="1417" w:gutter="0"/>
          <w:paperSrc/>
          <w:pgBorders>
            <w:top w:val="none" w:sz="0" w:space="0"/>
            <w:left w:val="none" w:sz="0" w:space="0"/>
            <w:bottom w:val="none" w:sz="0" w:space="0"/>
            <w:right w:val="none" w:sz="0" w:space="0"/>
          </w:pgBorders>
          <w:pgNumType w:fmt="decimal" w:start="1"/>
          <w:cols w:space="0" w:num="1"/>
          <w:rtlGutter w:val="0"/>
          <w:docGrid w:linePitch="381" w:charSpace="0"/>
        </w:sectPr>
      </w:pPr>
      <w:r>
        <w:rPr>
          <w:rFonts w:ascii="Times New Roman" w:hAnsi="Times New Roman" w:eastAsia="黑体"/>
          <w:color w:val="auto"/>
          <w:sz w:val="32"/>
          <w:szCs w:val="32"/>
          <w:highlight w:val="none"/>
        </w:rPr>
        <w:t>二〇二</w:t>
      </w:r>
      <w:r>
        <w:rPr>
          <w:rFonts w:hint="eastAsia" w:eastAsia="黑体"/>
          <w:color w:val="auto"/>
          <w:sz w:val="32"/>
          <w:szCs w:val="32"/>
          <w:highlight w:val="none"/>
          <w:lang w:val="en-US" w:eastAsia="zh-CN"/>
        </w:rPr>
        <w:t>五年八</w:t>
      </w:r>
      <w:r>
        <w:rPr>
          <w:rFonts w:ascii="Times New Roman" w:hAnsi="Times New Roman" w:eastAsia="黑体"/>
          <w:color w:val="auto"/>
          <w:sz w:val="32"/>
          <w:szCs w:val="32"/>
          <w:highlight w:val="none"/>
        </w:rPr>
        <w:t>月</w:t>
      </w:r>
    </w:p>
    <w:p w14:paraId="2BDB8F84">
      <w:pPr>
        <w:bidi w:val="0"/>
        <w:rPr>
          <w:rFonts w:hint="eastAsia"/>
          <w:color w:val="auto"/>
          <w:highlight w:val="none"/>
          <w:lang w:val="en-US" w:eastAsia="zh-CN"/>
        </w:rPr>
      </w:pPr>
      <w:r>
        <w:rPr>
          <w:rFonts w:hint="eastAsia"/>
          <w:color w:val="auto"/>
          <w:highlight w:val="none"/>
          <w:lang w:val="en-US" w:eastAsia="zh-CN"/>
        </w:rPr>
        <w:t>根据</w:t>
      </w:r>
      <w:r>
        <w:rPr>
          <w:rFonts w:hint="eastAsia"/>
          <w:color w:val="auto"/>
          <w:highlight w:val="none"/>
        </w:rPr>
        <w:t>《中共中央办公厅 国务院办公厅关于加强生态环境分区管控的意见》</w:t>
      </w:r>
      <w:r>
        <w:rPr>
          <w:rFonts w:hint="eastAsia"/>
          <w:color w:val="auto"/>
          <w:highlight w:val="none"/>
          <w:lang w:eastAsia="zh-CN"/>
        </w:rPr>
        <w:t>（</w:t>
      </w:r>
      <w:r>
        <w:rPr>
          <w:rFonts w:hint="eastAsia"/>
          <w:color w:val="auto"/>
          <w:highlight w:val="none"/>
          <w:lang w:val="en-US" w:eastAsia="zh-CN"/>
        </w:rPr>
        <w:t>中办发</w:t>
      </w:r>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22号</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关于印发</w:t>
      </w:r>
      <w:r>
        <w:rPr>
          <w:color w:val="auto"/>
          <w:highlight w:val="none"/>
        </w:rPr>
        <w:t>〈</w:t>
      </w:r>
      <w:r>
        <w:rPr>
          <w:rFonts w:hint="eastAsia"/>
          <w:color w:val="auto"/>
          <w:highlight w:val="none"/>
        </w:rPr>
        <w:t>生态环境分区管控管理暂行规定</w:t>
      </w:r>
      <w:r>
        <w:rPr>
          <w:color w:val="auto"/>
          <w:highlight w:val="none"/>
        </w:rPr>
        <w:t>〉</w:t>
      </w:r>
      <w:r>
        <w:rPr>
          <w:rFonts w:hint="eastAsia"/>
          <w:color w:val="auto"/>
          <w:highlight w:val="none"/>
          <w:lang w:val="en-US" w:eastAsia="zh-CN"/>
        </w:rPr>
        <w:t>的通知</w:t>
      </w:r>
      <w:r>
        <w:rPr>
          <w:rFonts w:hint="eastAsia"/>
          <w:color w:val="auto"/>
          <w:highlight w:val="none"/>
        </w:rPr>
        <w:t>》</w:t>
      </w:r>
      <w:r>
        <w:rPr>
          <w:color w:val="auto"/>
          <w:highlight w:val="none"/>
        </w:rPr>
        <w:t>（</w:t>
      </w:r>
      <w:r>
        <w:rPr>
          <w:rFonts w:hint="eastAsia"/>
          <w:color w:val="auto"/>
          <w:highlight w:val="none"/>
        </w:rPr>
        <w:t>环环评〔2024〕41号</w:t>
      </w:r>
      <w:r>
        <w:rPr>
          <w:color w:val="auto"/>
          <w:highlight w:val="none"/>
        </w:rPr>
        <w:t>）</w:t>
      </w:r>
      <w:r>
        <w:rPr>
          <w:rFonts w:hint="eastAsia"/>
          <w:color w:val="auto"/>
          <w:highlight w:val="none"/>
          <w:lang w:eastAsia="zh-CN"/>
        </w:rPr>
        <w:t>、</w:t>
      </w:r>
      <w:r>
        <w:rPr>
          <w:rFonts w:hint="eastAsia"/>
          <w:color w:val="auto"/>
          <w:highlight w:val="none"/>
          <w:lang w:val="en-US" w:eastAsia="zh-CN"/>
        </w:rPr>
        <w:t>《中共海南省委办公厅 海南省人民政府办公厅关于印发</w:t>
      </w:r>
      <w:r>
        <w:rPr>
          <w:color w:val="auto"/>
          <w:highlight w:val="none"/>
        </w:rPr>
        <w:t>〈</w:t>
      </w:r>
      <w:r>
        <w:rPr>
          <w:rFonts w:hint="eastAsia"/>
          <w:color w:val="auto"/>
          <w:highlight w:val="none"/>
          <w:lang w:val="en-US" w:eastAsia="zh-CN"/>
        </w:rPr>
        <w:t>加强生态环境分区管控以高水平保护推动高质量发展实施方案</w:t>
      </w:r>
      <w:r>
        <w:rPr>
          <w:color w:val="auto"/>
          <w:highlight w:val="none"/>
        </w:rPr>
        <w:t>〉</w:t>
      </w:r>
      <w:r>
        <w:rPr>
          <w:rFonts w:hint="eastAsia"/>
          <w:color w:val="auto"/>
          <w:highlight w:val="none"/>
          <w:lang w:val="en-US" w:eastAsia="zh-CN"/>
        </w:rPr>
        <w:t>的通知》（琼办发〔2024〕43号）以及《海南省生态环境厅关于印发</w:t>
      </w:r>
      <w:r>
        <w:rPr>
          <w:color w:val="auto"/>
          <w:highlight w:val="none"/>
        </w:rPr>
        <w:t>〈</w:t>
      </w:r>
      <w:r>
        <w:rPr>
          <w:rFonts w:hint="eastAsia"/>
          <w:color w:val="auto"/>
          <w:highlight w:val="none"/>
          <w:lang w:val="en-US" w:eastAsia="zh-CN"/>
        </w:rPr>
        <w:t>海南省市县生态环境分区管控动态更新技术方案（2024年版）</w:t>
      </w:r>
      <w:r>
        <w:rPr>
          <w:color w:val="auto"/>
          <w:highlight w:val="none"/>
        </w:rPr>
        <w:t>〉</w:t>
      </w:r>
      <w:r>
        <w:rPr>
          <w:rFonts w:hint="eastAsia"/>
          <w:color w:val="auto"/>
          <w:highlight w:val="none"/>
          <w:lang w:val="en-US" w:eastAsia="zh-CN"/>
        </w:rPr>
        <w:t>的通知》（琼环评字〔2024〕1号）等要求，</w:t>
      </w:r>
      <w:r>
        <w:rPr>
          <w:rFonts w:hint="eastAsia"/>
          <w:b w:val="0"/>
          <w:bCs w:val="0"/>
          <w:color w:val="auto"/>
          <w:highlight w:val="none"/>
          <w:lang w:val="en-US" w:eastAsia="zh-CN"/>
        </w:rPr>
        <w:t>重点衔接保亭黎族苗族自治县国土空间总体规划（2021—2035年）划定成果、优化公益林等重要生态空间等，</w:t>
      </w:r>
      <w:r>
        <w:rPr>
          <w:rFonts w:hint="eastAsia"/>
          <w:color w:val="auto"/>
          <w:highlight w:val="none"/>
          <w:lang w:val="en-US" w:eastAsia="zh-CN"/>
        </w:rPr>
        <w:t>对省生态环境厅下发的2023年海南省</w:t>
      </w:r>
      <w:r>
        <w:rPr>
          <w:rFonts w:hint="eastAsia"/>
          <w:b w:val="0"/>
          <w:bCs w:val="0"/>
          <w:color w:val="auto"/>
          <w:highlight w:val="none"/>
          <w:lang w:val="en-US" w:eastAsia="zh-CN"/>
        </w:rPr>
        <w:t>保亭黎族苗族自治县</w:t>
      </w:r>
      <w:r>
        <w:rPr>
          <w:rFonts w:hint="eastAsia"/>
          <w:color w:val="auto"/>
          <w:highlight w:val="none"/>
          <w:lang w:val="en-US" w:eastAsia="zh-CN"/>
        </w:rPr>
        <w:t>生态环境分区管控成果进行更新调整，建立更为科学、精准、适宜的生态环境分区管控方案。</w:t>
      </w:r>
    </w:p>
    <w:p w14:paraId="52181A55">
      <w:pPr>
        <w:bidi w:val="0"/>
        <w:ind w:firstLine="560" w:firstLineChars="200"/>
        <w:rPr>
          <w:rFonts w:ascii="Times New Roman" w:hAnsi="Times New Roman"/>
          <w:color w:val="auto"/>
          <w:highlight w:val="none"/>
        </w:rPr>
      </w:pPr>
      <w:r>
        <w:rPr>
          <w:rFonts w:hint="eastAsia"/>
          <w:color w:val="auto"/>
          <w:highlight w:val="none"/>
          <w:lang w:val="en-US" w:eastAsia="zh-CN"/>
        </w:rPr>
        <w:t>更新后，海南省</w:t>
      </w:r>
      <w:r>
        <w:rPr>
          <w:rFonts w:hint="eastAsia"/>
          <w:b w:val="0"/>
          <w:bCs w:val="0"/>
          <w:color w:val="auto"/>
          <w:highlight w:val="none"/>
          <w:lang w:val="en-US" w:eastAsia="zh-CN"/>
        </w:rPr>
        <w:t>保亭黎族苗族自治县</w:t>
      </w:r>
      <w:r>
        <w:rPr>
          <w:rFonts w:hint="eastAsia"/>
          <w:color w:val="auto"/>
          <w:highlight w:val="none"/>
          <w:lang w:val="en-US" w:eastAsia="zh-CN"/>
        </w:rPr>
        <w:t>共</w:t>
      </w:r>
      <w:r>
        <w:rPr>
          <w:rFonts w:ascii="Times New Roman" w:hAnsi="Times New Roman"/>
          <w:color w:val="auto"/>
          <w:highlight w:val="none"/>
        </w:rPr>
        <w:t>划定</w:t>
      </w:r>
      <w:r>
        <w:rPr>
          <w:rFonts w:hint="eastAsia"/>
          <w:color w:val="auto"/>
          <w:highlight w:val="none"/>
          <w:lang w:val="en-US" w:eastAsia="zh-CN"/>
        </w:rPr>
        <w:t>生态环境</w:t>
      </w:r>
      <w:r>
        <w:rPr>
          <w:rFonts w:ascii="Times New Roman" w:hAnsi="Times New Roman"/>
          <w:color w:val="auto"/>
          <w:highlight w:val="none"/>
        </w:rPr>
        <w:t>管控单元</w:t>
      </w:r>
      <w:r>
        <w:rPr>
          <w:rFonts w:hint="eastAsia"/>
          <w:b w:val="0"/>
          <w:bCs w:val="0"/>
          <w:color w:val="auto"/>
          <w:highlight w:val="none"/>
          <w:lang w:val="en-US" w:eastAsia="zh-CN"/>
        </w:rPr>
        <w:t>21</w:t>
      </w:r>
      <w:r>
        <w:rPr>
          <w:rFonts w:ascii="Times New Roman" w:hAnsi="Times New Roman"/>
          <w:color w:val="auto"/>
          <w:highlight w:val="none"/>
        </w:rPr>
        <w:t>个，其中优先保护单元</w:t>
      </w:r>
      <w:r>
        <w:rPr>
          <w:rFonts w:hint="eastAsia"/>
          <w:b w:val="0"/>
          <w:bCs w:val="0"/>
          <w:color w:val="auto"/>
          <w:highlight w:val="none"/>
          <w:lang w:val="en-US" w:eastAsia="zh-CN"/>
        </w:rPr>
        <w:t>13</w:t>
      </w:r>
      <w:r>
        <w:rPr>
          <w:rFonts w:ascii="Times New Roman" w:hAnsi="Times New Roman"/>
          <w:color w:val="auto"/>
          <w:highlight w:val="none"/>
        </w:rPr>
        <w:t>个，面积</w:t>
      </w:r>
      <w:r>
        <w:rPr>
          <w:rFonts w:hint="eastAsia" w:ascii="Times New Roman" w:hAnsi="Times New Roman"/>
          <w:color w:val="auto"/>
          <w:highlight w:val="none"/>
        </w:rPr>
        <w:t>约</w:t>
      </w:r>
      <w:r>
        <w:rPr>
          <w:rFonts w:hint="eastAsia" w:eastAsia="仿宋_GB2312" w:cs="Times New Roman"/>
        </w:rPr>
        <w:t>954.35</w:t>
      </w:r>
      <w:r>
        <w:rPr>
          <w:rFonts w:hint="eastAsia" w:ascii="Times New Roman" w:hAnsi="Times New Roman"/>
          <w:color w:val="auto"/>
          <w:highlight w:val="none"/>
        </w:rPr>
        <w:t>平方千米</w:t>
      </w:r>
      <w:r>
        <w:rPr>
          <w:rFonts w:ascii="Times New Roman" w:hAnsi="Times New Roman"/>
          <w:color w:val="auto"/>
          <w:highlight w:val="none"/>
        </w:rPr>
        <w:t>，占全</w:t>
      </w:r>
      <w:r>
        <w:rPr>
          <w:rFonts w:hint="eastAsia"/>
          <w:color w:val="auto"/>
          <w:highlight w:val="none"/>
          <w:lang w:val="en-US" w:eastAsia="zh-CN"/>
        </w:rPr>
        <w:t>县</w:t>
      </w:r>
      <w:r>
        <w:rPr>
          <w:rFonts w:ascii="Times New Roman" w:hAnsi="Times New Roman"/>
          <w:color w:val="auto"/>
          <w:highlight w:val="none"/>
        </w:rPr>
        <w:t>总面积的</w:t>
      </w:r>
      <w:r>
        <w:rPr>
          <w:rFonts w:hint="eastAsia" w:eastAsia="仿宋_GB2312" w:cs="Times New Roman"/>
        </w:rPr>
        <w:t>82.71</w:t>
      </w:r>
      <w:r>
        <w:rPr>
          <w:rFonts w:hint="eastAsia" w:cs="Times New Roman"/>
          <w:lang w:val="en-US" w:eastAsia="zh-CN"/>
        </w:rPr>
        <w:t>%</w:t>
      </w:r>
      <w:r>
        <w:rPr>
          <w:rFonts w:ascii="Times New Roman" w:hAnsi="Times New Roman"/>
          <w:color w:val="auto"/>
          <w:highlight w:val="none"/>
        </w:rPr>
        <w:t>；重点管控单元</w:t>
      </w:r>
      <w:r>
        <w:rPr>
          <w:rFonts w:hint="eastAsia"/>
          <w:b w:val="0"/>
          <w:bCs w:val="0"/>
          <w:color w:val="auto"/>
          <w:highlight w:val="none"/>
          <w:lang w:val="en-US" w:eastAsia="zh-CN"/>
        </w:rPr>
        <w:t>7</w:t>
      </w:r>
      <w:r>
        <w:rPr>
          <w:rFonts w:ascii="Times New Roman" w:hAnsi="Times New Roman"/>
          <w:color w:val="auto"/>
          <w:highlight w:val="none"/>
        </w:rPr>
        <w:t>个，面积</w:t>
      </w:r>
      <w:r>
        <w:rPr>
          <w:rFonts w:hint="eastAsia" w:ascii="Times New Roman" w:hAnsi="Times New Roman"/>
          <w:color w:val="auto"/>
          <w:highlight w:val="none"/>
        </w:rPr>
        <w:t>约</w:t>
      </w:r>
      <w:r>
        <w:rPr>
          <w:rFonts w:hint="eastAsia" w:eastAsia="仿宋_GB2312" w:cs="Times New Roman"/>
        </w:rPr>
        <w:t>46.61</w:t>
      </w:r>
      <w:r>
        <w:rPr>
          <w:rFonts w:hint="eastAsia" w:ascii="Times New Roman" w:hAnsi="Times New Roman"/>
          <w:color w:val="auto"/>
          <w:highlight w:val="none"/>
        </w:rPr>
        <w:t>平方千米</w:t>
      </w:r>
      <w:r>
        <w:rPr>
          <w:rFonts w:ascii="Times New Roman" w:hAnsi="Times New Roman"/>
          <w:color w:val="auto"/>
          <w:highlight w:val="none"/>
        </w:rPr>
        <w:t>，占全</w:t>
      </w:r>
      <w:r>
        <w:rPr>
          <w:rFonts w:hint="eastAsia"/>
          <w:color w:val="auto"/>
          <w:highlight w:val="none"/>
          <w:lang w:val="en-US" w:eastAsia="zh-CN"/>
        </w:rPr>
        <w:t>县</w:t>
      </w:r>
      <w:r>
        <w:rPr>
          <w:rFonts w:ascii="Times New Roman" w:hAnsi="Times New Roman"/>
          <w:color w:val="auto"/>
          <w:highlight w:val="none"/>
        </w:rPr>
        <w:t>总面积的</w:t>
      </w:r>
      <w:r>
        <w:rPr>
          <w:rFonts w:hint="eastAsia" w:eastAsia="仿宋_GB2312" w:cs="Times New Roman"/>
        </w:rPr>
        <w:t>4.04</w:t>
      </w:r>
      <w:r>
        <w:rPr>
          <w:rFonts w:eastAsia="仿宋_GB2312" w:cs="Times New Roman"/>
        </w:rPr>
        <w:t>%</w:t>
      </w:r>
      <w:r>
        <w:rPr>
          <w:rFonts w:ascii="Times New Roman" w:hAnsi="Times New Roman"/>
          <w:color w:val="auto"/>
          <w:highlight w:val="none"/>
        </w:rPr>
        <w:t>；一般管控单元</w:t>
      </w:r>
      <w:r>
        <w:rPr>
          <w:rFonts w:hint="eastAsia"/>
          <w:b w:val="0"/>
          <w:bCs w:val="0"/>
          <w:color w:val="auto"/>
          <w:highlight w:val="none"/>
          <w:lang w:val="en-US" w:eastAsia="zh-CN"/>
        </w:rPr>
        <w:t>1</w:t>
      </w:r>
      <w:r>
        <w:rPr>
          <w:rFonts w:ascii="Times New Roman" w:hAnsi="Times New Roman"/>
          <w:color w:val="auto"/>
          <w:highlight w:val="none"/>
        </w:rPr>
        <w:t>个，面积</w:t>
      </w:r>
      <w:r>
        <w:rPr>
          <w:rFonts w:hint="eastAsia" w:ascii="Times New Roman" w:hAnsi="Times New Roman"/>
          <w:color w:val="auto"/>
          <w:highlight w:val="none"/>
        </w:rPr>
        <w:t>约</w:t>
      </w:r>
      <w:r>
        <w:rPr>
          <w:rFonts w:hint="eastAsia" w:eastAsia="仿宋_GB2312" w:cs="Times New Roman"/>
        </w:rPr>
        <w:t>152.87</w:t>
      </w:r>
      <w:r>
        <w:rPr>
          <w:rFonts w:hint="eastAsia" w:ascii="Times New Roman" w:hAnsi="Times New Roman"/>
          <w:color w:val="auto"/>
          <w:highlight w:val="none"/>
        </w:rPr>
        <w:t>平方千米</w:t>
      </w:r>
      <w:r>
        <w:rPr>
          <w:rFonts w:ascii="Times New Roman" w:hAnsi="Times New Roman"/>
          <w:color w:val="auto"/>
          <w:highlight w:val="none"/>
        </w:rPr>
        <w:t>，占全</w:t>
      </w:r>
      <w:r>
        <w:rPr>
          <w:rFonts w:hint="eastAsia"/>
          <w:color w:val="auto"/>
          <w:highlight w:val="none"/>
          <w:lang w:val="en-US" w:eastAsia="zh-CN"/>
        </w:rPr>
        <w:t>县</w:t>
      </w:r>
      <w:r>
        <w:rPr>
          <w:rFonts w:ascii="Times New Roman" w:hAnsi="Times New Roman"/>
          <w:color w:val="auto"/>
          <w:highlight w:val="none"/>
        </w:rPr>
        <w:t>总面积的</w:t>
      </w:r>
      <w:r>
        <w:rPr>
          <w:rFonts w:hint="eastAsia" w:eastAsia="仿宋_GB2312" w:cs="Times New Roman"/>
        </w:rPr>
        <w:t>13.25</w:t>
      </w:r>
      <w:r>
        <w:rPr>
          <w:rFonts w:eastAsia="仿宋_GB2312" w:cs="Times New Roman"/>
        </w:rPr>
        <w:t>%</w:t>
      </w:r>
      <w:r>
        <w:rPr>
          <w:rFonts w:ascii="Times New Roman" w:hAnsi="Times New Roman"/>
          <w:color w:val="auto"/>
          <w:highlight w:val="none"/>
        </w:rPr>
        <w:t>。</w:t>
      </w:r>
    </w:p>
    <w:p w14:paraId="5E4C9E33">
      <w:pPr>
        <w:bidi w:val="0"/>
        <w:ind w:firstLine="560" w:firstLineChars="200"/>
        <w:rPr>
          <w:highlight w:val="none"/>
        </w:rPr>
      </w:pPr>
      <w:r>
        <w:rPr>
          <w:rFonts w:hint="eastAsia" w:ascii="Times New Roman" w:hAnsi="Times New Roman"/>
          <w:color w:val="auto"/>
          <w:highlight w:val="none"/>
        </w:rPr>
        <w:t>依据</w:t>
      </w:r>
      <w:r>
        <w:rPr>
          <w:rFonts w:hint="eastAsia"/>
          <w:color w:val="auto"/>
          <w:highlight w:val="none"/>
          <w:lang w:val="en-US" w:eastAsia="zh-CN"/>
        </w:rPr>
        <w:t>国家、海南省、</w:t>
      </w:r>
      <w:r>
        <w:rPr>
          <w:rFonts w:hint="eastAsia"/>
          <w:b w:val="0"/>
          <w:bCs w:val="0"/>
          <w:color w:val="auto"/>
          <w:highlight w:val="none"/>
          <w:lang w:val="en-US" w:eastAsia="zh-CN"/>
        </w:rPr>
        <w:t>保亭黎族苗族自治县</w:t>
      </w:r>
      <w:r>
        <w:rPr>
          <w:rFonts w:hint="eastAsia" w:ascii="Times New Roman" w:hAnsi="Times New Roman"/>
          <w:color w:val="auto"/>
          <w:highlight w:val="none"/>
        </w:rPr>
        <w:t>最新</w:t>
      </w:r>
      <w:r>
        <w:rPr>
          <w:rFonts w:hint="eastAsia"/>
          <w:color w:val="auto"/>
          <w:highlight w:val="none"/>
          <w:lang w:val="en-US" w:eastAsia="zh-CN"/>
        </w:rPr>
        <w:t>法律法规规定以及</w:t>
      </w:r>
      <w:r>
        <w:rPr>
          <w:rFonts w:hint="eastAsia" w:ascii="Times New Roman" w:hAnsi="Times New Roman"/>
          <w:color w:val="auto"/>
          <w:highlight w:val="none"/>
        </w:rPr>
        <w:t>政策文件要求</w:t>
      </w:r>
      <w:r>
        <w:rPr>
          <w:rFonts w:hint="eastAsia"/>
          <w:color w:val="auto"/>
          <w:highlight w:val="none"/>
          <w:lang w:eastAsia="zh-CN"/>
        </w:rPr>
        <w:t>，</w:t>
      </w:r>
      <w:r>
        <w:rPr>
          <w:rFonts w:hint="eastAsia" w:ascii="Times New Roman" w:hAnsi="Times New Roman"/>
          <w:color w:val="auto"/>
          <w:highlight w:val="none"/>
        </w:rPr>
        <w:t>更新</w:t>
      </w:r>
      <w:r>
        <w:rPr>
          <w:rFonts w:hint="eastAsia"/>
          <w:b w:val="0"/>
          <w:bCs w:val="0"/>
          <w:color w:val="auto"/>
          <w:highlight w:val="none"/>
          <w:lang w:val="en-US" w:eastAsia="zh-CN"/>
        </w:rPr>
        <w:t>保亭黎族苗族自治县</w:t>
      </w:r>
      <w:r>
        <w:rPr>
          <w:rFonts w:hint="eastAsia" w:ascii="Times New Roman" w:hAnsi="Times New Roman"/>
          <w:color w:val="auto"/>
          <w:highlight w:val="none"/>
        </w:rPr>
        <w:t>总体生态环境管控要求</w:t>
      </w:r>
      <w:r>
        <w:rPr>
          <w:rFonts w:hint="eastAsia"/>
          <w:color w:val="auto"/>
          <w:highlight w:val="none"/>
          <w:lang w:eastAsia="zh-CN"/>
        </w:rPr>
        <w:t>、</w:t>
      </w:r>
      <w:r>
        <w:rPr>
          <w:rFonts w:hint="eastAsia"/>
          <w:color w:val="auto"/>
          <w:highlight w:val="none"/>
          <w:lang w:val="en-US" w:eastAsia="zh-CN"/>
        </w:rPr>
        <w:t>陆域</w:t>
      </w:r>
      <w:r>
        <w:rPr>
          <w:rFonts w:hint="eastAsia" w:ascii="Times New Roman" w:hAnsi="Times New Roman"/>
          <w:color w:val="auto"/>
          <w:highlight w:val="none"/>
        </w:rPr>
        <w:t>生态环境准入</w:t>
      </w:r>
      <w:r>
        <w:rPr>
          <w:rFonts w:hint="eastAsia"/>
          <w:color w:val="auto"/>
          <w:highlight w:val="none"/>
          <w:lang w:val="en-US" w:eastAsia="zh-CN"/>
        </w:rPr>
        <w:t>清单</w:t>
      </w:r>
      <w:r>
        <w:rPr>
          <w:rFonts w:hint="eastAsia"/>
          <w:color w:val="auto"/>
          <w:highlight w:val="none"/>
          <w:lang w:eastAsia="zh-CN"/>
        </w:rPr>
        <w:t>。</w:t>
      </w:r>
      <w:r>
        <w:rPr>
          <w:rFonts w:hint="eastAsia" w:ascii="Times New Roman" w:hAnsi="Times New Roman"/>
          <w:color w:val="auto"/>
          <w:highlight w:val="none"/>
        </w:rPr>
        <w:t>详见</w:t>
      </w:r>
      <w:r>
        <w:rPr>
          <w:rFonts w:hint="eastAsia"/>
          <w:color w:val="auto"/>
          <w:highlight w:val="none"/>
          <w:lang w:val="en-US" w:eastAsia="zh-CN"/>
        </w:rPr>
        <w:t>附表</w:t>
      </w:r>
      <w:r>
        <w:rPr>
          <w:rFonts w:hint="eastAsia" w:ascii="Times New Roman" w:hAnsi="Times New Roman"/>
          <w:color w:val="auto"/>
          <w:highlight w:val="none"/>
        </w:rPr>
        <w:t>《海南保亭黎族苗族</w:t>
      </w:r>
      <w:r>
        <w:rPr>
          <w:rFonts w:hint="eastAsia"/>
          <w:b w:val="0"/>
          <w:bCs w:val="0"/>
          <w:color w:val="auto"/>
          <w:highlight w:val="none"/>
          <w:lang w:val="en-US" w:eastAsia="zh-CN"/>
        </w:rPr>
        <w:t>自治县</w:t>
      </w:r>
      <w:r>
        <w:rPr>
          <w:rFonts w:hint="eastAsia" w:ascii="Times New Roman" w:hAnsi="Times New Roman"/>
          <w:color w:val="auto"/>
          <w:highlight w:val="none"/>
        </w:rPr>
        <w:t>生态环境准入清单（202</w:t>
      </w:r>
      <w:r>
        <w:rPr>
          <w:rFonts w:hint="eastAsia"/>
          <w:color w:val="auto"/>
          <w:highlight w:val="none"/>
          <w:lang w:val="en-US" w:eastAsia="zh-CN"/>
        </w:rPr>
        <w:t>5</w:t>
      </w:r>
      <w:r>
        <w:rPr>
          <w:rFonts w:hint="eastAsia" w:ascii="Times New Roman" w:hAnsi="Times New Roman"/>
          <w:color w:val="auto"/>
          <w:highlight w:val="none"/>
        </w:rPr>
        <w:t>年版）》。</w:t>
      </w:r>
      <w:r>
        <w:rPr>
          <w:rFonts w:ascii="Times New Roman" w:hAnsi="Times New Roman"/>
          <w:color w:val="auto"/>
          <w:highlight w:val="none"/>
        </w:rPr>
        <w:br w:type="page"/>
      </w:r>
    </w:p>
    <w:p w14:paraId="3AC37D66">
      <w:pPr>
        <w:widowControl/>
        <w:bidi w:val="0"/>
        <w:ind w:left="0" w:leftChars="0" w:firstLine="0" w:firstLineChars="0"/>
        <w:rPr>
          <w:rFonts w:hint="eastAsia"/>
          <w:color w:val="auto"/>
          <w:highlight w:val="none"/>
          <w:lang w:val="en-US" w:eastAsia="zh-CN"/>
        </w:rPr>
        <w:sectPr>
          <w:headerReference r:id="rId7" w:type="default"/>
          <w:footerReference r:id="rId8"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3B0F00C2">
      <w:pPr>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color w:val="auto"/>
          <w:sz w:val="32"/>
          <w:szCs w:val="32"/>
          <w:highlight w:val="none"/>
          <w:lang w:val="en-US" w:eastAsia="zh-CN"/>
        </w:rPr>
      </w:pPr>
      <w:bookmarkStart w:id="3" w:name="_Toc4990"/>
      <w:bookmarkStart w:id="4" w:name="_Toc3799"/>
      <w:bookmarkStart w:id="5" w:name="_Toc7545"/>
      <w:r>
        <w:rPr>
          <w:rFonts w:hint="eastAsia" w:ascii="黑体" w:hAnsi="黑体" w:eastAsia="黑体" w:cs="黑体"/>
          <w:color w:val="auto"/>
          <w:sz w:val="32"/>
          <w:szCs w:val="32"/>
          <w:highlight w:val="none"/>
          <w:lang w:val="en-US" w:eastAsia="zh-CN"/>
        </w:rPr>
        <w:t>附图</w:t>
      </w:r>
      <w:bookmarkEnd w:id="3"/>
      <w:bookmarkEnd w:id="4"/>
      <w:bookmarkEnd w:id="5"/>
    </w:p>
    <w:p w14:paraId="613014FE">
      <w:pPr>
        <w:pStyle w:val="2"/>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_GBK" w:hAnsi="方正小标宋_GBK" w:eastAsia="方正小标宋_GBK" w:cs="方正小标宋_GBK"/>
          <w:color w:val="auto"/>
          <w:sz w:val="44"/>
          <w:szCs w:val="44"/>
          <w:highlight w:val="none"/>
          <w:lang w:val="en-US" w:eastAsia="zh-CN"/>
        </w:rPr>
      </w:pPr>
      <w:bookmarkStart w:id="6" w:name="_Toc22231"/>
      <w:bookmarkStart w:id="7" w:name="_Toc4151"/>
      <w:bookmarkStart w:id="8" w:name="_Toc22462"/>
      <w:r>
        <w:rPr>
          <w:rFonts w:hint="eastAsia" w:ascii="方正小标宋_GBK" w:hAnsi="方正小标宋_GBK" w:eastAsia="方正小标宋_GBK" w:cs="方正小标宋_GBK"/>
          <w:color w:val="auto"/>
          <w:sz w:val="44"/>
          <w:szCs w:val="44"/>
          <w:highlight w:val="none"/>
          <w:lang w:val="en-US" w:eastAsia="zh-CN"/>
        </w:rPr>
        <w:t>海南省保亭黎族苗族自治县生态环境管控单元图</w:t>
      </w:r>
      <w:bookmarkEnd w:id="6"/>
      <w:bookmarkEnd w:id="7"/>
      <w:bookmarkEnd w:id="8"/>
    </w:p>
    <w:p w14:paraId="6EBA773C">
      <w:pPr>
        <w:pStyle w:val="2"/>
        <w:jc w:val="center"/>
        <w:rPr>
          <w:rFonts w:hint="eastAsia"/>
          <w:color w:val="auto"/>
          <w:highlight w:val="none"/>
          <w:lang w:val="en-US" w:eastAsia="zh-CN"/>
        </w:rPr>
        <w:sectPr>
          <w:pgSz w:w="23811" w:h="16838"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仿宋_GB2312" w:hAnsi="仿宋_GB2312" w:eastAsia="仿宋_GB2312" w:cs="仿宋_GB2312"/>
          <w:color w:val="auto"/>
          <w:highlight w:val="none"/>
          <w:lang w:val="en-US" w:eastAsia="zh-CN"/>
        </w:rPr>
        <w:drawing>
          <wp:inline distT="0" distB="0" distL="114300" distR="114300">
            <wp:extent cx="10278110" cy="7654290"/>
            <wp:effectExtent l="0" t="0" r="8890" b="3810"/>
            <wp:docPr id="3" name="图片 3" descr="C:/Users/Administrator/Desktop/海南省保亭黎族苗族自治县生态环境分区管控单元图-0618_01.png海南省保亭黎族苗族自治县生态环境分区管控单元图-06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海南省保亭黎族苗族自治县生态环境分区管控单元图-0618_01.png海南省保亭黎族苗族自治县生态环境分区管控单元图-0618_01"/>
                    <pic:cNvPicPr>
                      <a:picLocks noChangeAspect="1"/>
                    </pic:cNvPicPr>
                  </pic:nvPicPr>
                  <pic:blipFill>
                    <a:blip r:embed="rId14"/>
                    <a:srcRect l="158" r="158"/>
                    <a:stretch>
                      <a:fillRect/>
                    </a:stretch>
                  </pic:blipFill>
                  <pic:spPr>
                    <a:xfrm>
                      <a:off x="0" y="0"/>
                      <a:ext cx="10278110" cy="7654290"/>
                    </a:xfrm>
                    <a:prstGeom prst="rect">
                      <a:avLst/>
                    </a:prstGeom>
                  </pic:spPr>
                </pic:pic>
              </a:graphicData>
            </a:graphic>
          </wp:inline>
        </w:drawing>
      </w:r>
    </w:p>
    <w:p w14:paraId="07328F82">
      <w:pPr>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0"/>
        <w:rPr>
          <w:rFonts w:hint="default" w:ascii="黑体" w:hAnsi="黑体" w:eastAsia="黑体" w:cs="黑体"/>
          <w:color w:val="auto"/>
          <w:sz w:val="32"/>
          <w:szCs w:val="32"/>
          <w:highlight w:val="none"/>
          <w:lang w:val="en-US" w:eastAsia="zh-CN"/>
        </w:rPr>
      </w:pPr>
      <w:bookmarkStart w:id="9" w:name="_Toc9373"/>
      <w:bookmarkStart w:id="10" w:name="_Toc17481"/>
      <w:bookmarkStart w:id="11" w:name="_Toc21182"/>
      <w:r>
        <w:rPr>
          <w:rFonts w:hint="eastAsia" w:ascii="黑体" w:hAnsi="黑体" w:eastAsia="黑体" w:cs="黑体"/>
          <w:color w:val="auto"/>
          <w:sz w:val="32"/>
          <w:szCs w:val="32"/>
          <w:highlight w:val="none"/>
          <w:lang w:val="en-US" w:eastAsia="zh-CN"/>
        </w:rPr>
        <w:t>附表</w:t>
      </w:r>
      <w:bookmarkEnd w:id="9"/>
      <w:bookmarkEnd w:id="10"/>
      <w:bookmarkEnd w:id="11"/>
    </w:p>
    <w:p w14:paraId="18B0DD43">
      <w:pPr>
        <w:pStyle w:val="2"/>
        <w:rPr>
          <w:rFonts w:hint="eastAsia"/>
          <w:color w:val="auto"/>
          <w:highlight w:val="none"/>
          <w:lang w:val="en-US" w:eastAsia="zh-CN"/>
        </w:rPr>
      </w:pPr>
    </w:p>
    <w:p w14:paraId="3E4FD147">
      <w:pPr>
        <w:pStyle w:val="7"/>
        <w:ind w:left="0" w:leftChars="0" w:firstLine="0" w:firstLineChars="0"/>
        <w:rPr>
          <w:rFonts w:eastAsia="黑体" w:cs="Times New Roman"/>
          <w:color w:val="auto"/>
          <w:sz w:val="84"/>
          <w:szCs w:val="84"/>
          <w:highlight w:val="none"/>
        </w:rPr>
      </w:pPr>
    </w:p>
    <w:p w14:paraId="32E0F164">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color w:val="auto"/>
          <w:sz w:val="84"/>
          <w:szCs w:val="84"/>
          <w:highlight w:val="none"/>
        </w:rPr>
      </w:pPr>
      <w:bookmarkStart w:id="12" w:name="_Toc11801"/>
      <w:bookmarkStart w:id="13" w:name="_Toc1705"/>
      <w:bookmarkStart w:id="14" w:name="_Toc19261"/>
      <w:r>
        <w:rPr>
          <w:rFonts w:hint="eastAsia" w:ascii="方正小标宋_GBK" w:hAnsi="方正小标宋_GBK" w:eastAsia="方正小标宋_GBK" w:cs="方正小标宋_GBK"/>
          <w:color w:val="auto"/>
          <w:sz w:val="84"/>
          <w:szCs w:val="84"/>
          <w:highlight w:val="none"/>
        </w:rPr>
        <w:t>海南省保亭黎族苗族自治县生态环境准入清单</w:t>
      </w:r>
      <w:bookmarkEnd w:id="12"/>
      <w:bookmarkEnd w:id="13"/>
      <w:bookmarkEnd w:id="14"/>
    </w:p>
    <w:p w14:paraId="0A643F51">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color w:val="auto"/>
          <w:sz w:val="84"/>
          <w:szCs w:val="84"/>
          <w:highlight w:val="none"/>
          <w:lang w:val="en-US" w:eastAsia="zh-CN"/>
        </w:rPr>
      </w:pPr>
      <w:bookmarkStart w:id="15" w:name="_Toc28368"/>
      <w:bookmarkStart w:id="16" w:name="_Toc18355"/>
      <w:bookmarkStart w:id="17" w:name="_Toc4804"/>
      <w:r>
        <w:rPr>
          <w:rFonts w:hint="eastAsia" w:ascii="方正小标宋_GBK" w:hAnsi="方正小标宋_GBK" w:eastAsia="方正小标宋_GBK" w:cs="方正小标宋_GBK"/>
          <w:color w:val="auto"/>
          <w:sz w:val="84"/>
          <w:szCs w:val="84"/>
          <w:highlight w:val="none"/>
        </w:rPr>
        <w:t>（202</w:t>
      </w:r>
      <w:r>
        <w:rPr>
          <w:rFonts w:hint="eastAsia" w:ascii="方正小标宋_GBK" w:hAnsi="方正小标宋_GBK" w:eastAsia="方正小标宋_GBK" w:cs="方正小标宋_GBK"/>
          <w:color w:val="auto"/>
          <w:sz w:val="84"/>
          <w:szCs w:val="84"/>
          <w:highlight w:val="none"/>
          <w:lang w:val="en-US" w:eastAsia="zh-CN"/>
        </w:rPr>
        <w:t>5</w:t>
      </w:r>
      <w:r>
        <w:rPr>
          <w:rFonts w:hint="eastAsia" w:ascii="方正小标宋_GBK" w:hAnsi="方正小标宋_GBK" w:eastAsia="方正小标宋_GBK" w:cs="方正小标宋_GBK"/>
          <w:color w:val="auto"/>
          <w:sz w:val="84"/>
          <w:szCs w:val="84"/>
          <w:highlight w:val="none"/>
        </w:rPr>
        <w:t>年版）</w:t>
      </w:r>
      <w:bookmarkEnd w:id="15"/>
      <w:bookmarkEnd w:id="16"/>
      <w:bookmarkEnd w:id="17"/>
    </w:p>
    <w:p w14:paraId="441C7600">
      <w:pPr>
        <w:pStyle w:val="2"/>
        <w:rPr>
          <w:rFonts w:eastAsia="黑体" w:cs="Times New Roman"/>
          <w:color w:val="auto"/>
          <w:szCs w:val="21"/>
          <w:highlight w:val="none"/>
        </w:rPr>
      </w:pPr>
    </w:p>
    <w:p w14:paraId="3427E966">
      <w:pPr>
        <w:pStyle w:val="2"/>
        <w:rPr>
          <w:rFonts w:eastAsia="黑体" w:cs="Times New Roman"/>
          <w:color w:val="auto"/>
          <w:szCs w:val="21"/>
          <w:highlight w:val="none"/>
        </w:rPr>
      </w:pPr>
    </w:p>
    <w:p w14:paraId="1B5A55A2">
      <w:pPr>
        <w:pStyle w:val="2"/>
        <w:rPr>
          <w:rFonts w:eastAsia="黑体" w:cs="Times New Roman"/>
          <w:color w:val="auto"/>
          <w:szCs w:val="21"/>
          <w:highlight w:val="none"/>
        </w:rPr>
      </w:pPr>
    </w:p>
    <w:p w14:paraId="34BF5B73">
      <w:pPr>
        <w:pStyle w:val="2"/>
        <w:rPr>
          <w:rFonts w:eastAsia="黑体" w:cs="Times New Roman"/>
          <w:color w:val="auto"/>
          <w:szCs w:val="21"/>
          <w:highlight w:val="none"/>
        </w:rPr>
      </w:pPr>
    </w:p>
    <w:p w14:paraId="05A8C0B5">
      <w:pPr>
        <w:pStyle w:val="2"/>
        <w:rPr>
          <w:rFonts w:eastAsia="黑体" w:cs="Times New Roman"/>
          <w:color w:val="auto"/>
          <w:szCs w:val="21"/>
          <w:highlight w:val="none"/>
        </w:rPr>
      </w:pPr>
    </w:p>
    <w:p w14:paraId="6CF0167D">
      <w:pPr>
        <w:rPr>
          <w:rFonts w:eastAsia="仿宋_GB2312" w:cs="Times New Roman"/>
          <w:color w:val="auto"/>
          <w:szCs w:val="21"/>
          <w:highlight w:val="none"/>
        </w:rPr>
      </w:pPr>
    </w:p>
    <w:p w14:paraId="22F8854A">
      <w:pPr>
        <w:rPr>
          <w:rFonts w:eastAsia="仿宋_GB2312" w:cs="Times New Roman"/>
          <w:color w:val="auto"/>
          <w:szCs w:val="21"/>
          <w:highlight w:val="none"/>
        </w:rPr>
      </w:pPr>
    </w:p>
    <w:p w14:paraId="11358B04">
      <w:pPr>
        <w:rPr>
          <w:rFonts w:eastAsia="仿宋_GB2312" w:cs="Times New Roman"/>
          <w:color w:val="auto"/>
          <w:szCs w:val="21"/>
          <w:highlight w:val="none"/>
        </w:rPr>
      </w:pPr>
      <w:bookmarkStart w:id="27" w:name="_GoBack"/>
      <w:bookmarkEnd w:id="27"/>
    </w:p>
    <w:p w14:paraId="27146F8B">
      <w:pPr>
        <w:adjustRightInd w:val="0"/>
        <w:ind w:left="0" w:leftChars="0" w:firstLine="0" w:firstLineChars="0"/>
        <w:jc w:val="center"/>
        <w:rPr>
          <w:rFonts w:hint="default" w:eastAsia="黑体" w:cs="Times New Roman"/>
          <w:sz w:val="44"/>
          <w:szCs w:val="44"/>
          <w:lang w:val="en-US" w:eastAsia="zh-CN"/>
        </w:rPr>
      </w:pPr>
      <w:r>
        <w:rPr>
          <w:rFonts w:hint="eastAsia" w:eastAsia="黑体" w:cs="Times New Roman"/>
          <w:sz w:val="44"/>
          <w:szCs w:val="44"/>
          <w:lang w:val="en-US" w:eastAsia="zh-CN"/>
        </w:rPr>
        <w:t>保亭黎族苗族自治县生态环境局</w:t>
      </w:r>
    </w:p>
    <w:p w14:paraId="53CE3F7A">
      <w:pPr>
        <w:pStyle w:val="2"/>
        <w:jc w:val="center"/>
        <w:rPr>
          <w:rFonts w:eastAsia="黑体" w:cs="Times New Roman"/>
          <w:color w:val="auto"/>
          <w:sz w:val="44"/>
          <w:szCs w:val="44"/>
          <w:highlight w:val="none"/>
        </w:rPr>
        <w:sectPr>
          <w:footerReference r:id="rId9" w:type="default"/>
          <w:pgSz w:w="23811" w:h="16838" w:orient="landscape"/>
          <w:pgMar w:top="1800" w:right="1440" w:bottom="1800" w:left="1440" w:header="851" w:footer="992" w:gutter="0"/>
          <w:pgNumType w:fmt="decimal"/>
          <w:cols w:space="425" w:num="1"/>
          <w:docGrid w:type="lines" w:linePitch="312" w:charSpace="0"/>
        </w:sectPr>
      </w:pPr>
      <w:r>
        <w:rPr>
          <w:rFonts w:eastAsia="黑体" w:cs="Times New Roman"/>
          <w:color w:val="auto"/>
          <w:sz w:val="44"/>
          <w:szCs w:val="44"/>
          <w:highlight w:val="none"/>
        </w:rPr>
        <w:t>二〇二</w:t>
      </w:r>
      <w:r>
        <w:rPr>
          <w:rFonts w:hint="eastAsia" w:eastAsia="黑体" w:cs="Times New Roman"/>
          <w:color w:val="auto"/>
          <w:sz w:val="44"/>
          <w:szCs w:val="44"/>
          <w:highlight w:val="none"/>
          <w:lang w:val="en-US" w:eastAsia="zh-CN"/>
        </w:rPr>
        <w:t>五</w:t>
      </w:r>
      <w:r>
        <w:rPr>
          <w:rFonts w:eastAsia="黑体" w:cs="Times New Roman"/>
          <w:color w:val="auto"/>
          <w:sz w:val="44"/>
          <w:szCs w:val="44"/>
          <w:highlight w:val="none"/>
        </w:rPr>
        <w:t>年</w:t>
      </w:r>
      <w:r>
        <w:rPr>
          <w:rFonts w:hint="eastAsia" w:eastAsia="黑体" w:cs="Times New Roman"/>
          <w:color w:val="auto"/>
          <w:sz w:val="44"/>
          <w:szCs w:val="44"/>
          <w:highlight w:val="none"/>
          <w:lang w:val="en-US" w:eastAsia="zh-CN"/>
        </w:rPr>
        <w:t>八</w:t>
      </w:r>
      <w:r>
        <w:rPr>
          <w:rFonts w:eastAsia="黑体" w:cs="Times New Roman"/>
          <w:color w:val="auto"/>
          <w:sz w:val="44"/>
          <w:szCs w:val="44"/>
          <w:highlight w:val="none"/>
        </w:rPr>
        <w:t>月</w:t>
      </w:r>
    </w:p>
    <w:sdt>
      <w:sdtPr>
        <w:rPr>
          <w:rFonts w:ascii="宋体" w:hAnsi="宋体" w:eastAsia="宋体" w:cs="Times New Roman"/>
          <w:b/>
          <w:bCs/>
          <w:kern w:val="2"/>
          <w:sz w:val="32"/>
          <w:szCs w:val="32"/>
          <w:u w:val="none"/>
          <w:lang w:val="zh-CN" w:eastAsia="zh-CN" w:bidi="ar-SA"/>
        </w:rPr>
        <w:id w:val="147483559"/>
        <w:docPartObj>
          <w:docPartGallery w:val="Table of Contents"/>
          <w:docPartUnique/>
        </w:docPartObj>
      </w:sdtPr>
      <w:sdtEndPr>
        <w:rPr>
          <w:rFonts w:ascii="宋体" w:hAnsi="宋体" w:eastAsia="宋体" w:cs="Times New Roman"/>
          <w:b w:val="0"/>
          <w:bCs w:val="0"/>
          <w:kern w:val="0"/>
          <w:sz w:val="21"/>
          <w:szCs w:val="21"/>
          <w:u w:val="none"/>
          <w:lang w:val="zh-CN" w:eastAsia="zh-CN" w:bidi="ar-SA"/>
        </w:rPr>
      </w:sdtEndPr>
      <w:sdtContent>
        <w:p w14:paraId="368017E4">
          <w:pPr>
            <w:widowControl/>
            <w:spacing w:after="100" w:line="276" w:lineRule="auto"/>
            <w:jc w:val="center"/>
            <w:rPr>
              <w:rFonts w:hint="eastAsia" w:ascii="宋体" w:hAnsi="宋体" w:eastAsia="宋体" w:cs="Times New Roman"/>
              <w:b/>
              <w:bCs/>
              <w:kern w:val="2"/>
              <w:sz w:val="32"/>
              <w:szCs w:val="32"/>
              <w:u w:val="none"/>
              <w:lang w:val="zh-CN" w:eastAsia="zh-CN" w:bidi="ar-SA"/>
            </w:rPr>
          </w:pPr>
          <w:bookmarkStart w:id="18" w:name="_Toc18751"/>
          <w:bookmarkStart w:id="19" w:name="_Toc20476"/>
        </w:p>
        <w:p w14:paraId="498A66D2">
          <w:pPr>
            <w:widowControl/>
            <w:spacing w:after="100" w:line="276" w:lineRule="auto"/>
            <w:jc w:val="center"/>
            <w:rPr>
              <w:rFonts w:hint="eastAsia" w:ascii="宋体" w:hAnsi="宋体" w:eastAsia="宋体" w:cs="Times New Roman"/>
              <w:b/>
              <w:bCs/>
              <w:kern w:val="2"/>
              <w:sz w:val="44"/>
              <w:szCs w:val="44"/>
              <w:u w:val="none"/>
              <w:lang w:val="zh-CN" w:eastAsia="zh-CN" w:bidi="ar-SA"/>
            </w:rPr>
          </w:pPr>
          <w:r>
            <w:rPr>
              <w:rFonts w:ascii="宋体" w:hAnsi="宋体" w:eastAsia="宋体" w:cs="Times New Roman"/>
              <w:b/>
              <w:bCs/>
              <w:kern w:val="2"/>
              <w:sz w:val="44"/>
              <w:szCs w:val="44"/>
              <w:u w:val="none"/>
              <w:lang w:val="zh-CN" w:eastAsia="zh-CN" w:bidi="ar-SA"/>
            </w:rPr>
            <w:t>目</w:t>
          </w:r>
          <w:r>
            <w:rPr>
              <w:rFonts w:hint="eastAsia" w:ascii="宋体" w:hAnsi="宋体" w:eastAsia="宋体" w:cs="Times New Roman"/>
              <w:b/>
              <w:bCs/>
              <w:kern w:val="2"/>
              <w:sz w:val="44"/>
              <w:szCs w:val="44"/>
              <w:u w:val="none"/>
              <w:lang w:val="en-US" w:eastAsia="zh-CN" w:bidi="ar-SA"/>
            </w:rPr>
            <w:t xml:space="preserve">  </w:t>
          </w:r>
          <w:r>
            <w:rPr>
              <w:rFonts w:ascii="宋体" w:hAnsi="宋体" w:eastAsia="宋体" w:cs="Times New Roman"/>
              <w:b/>
              <w:bCs/>
              <w:kern w:val="2"/>
              <w:sz w:val="44"/>
              <w:szCs w:val="44"/>
              <w:u w:val="none"/>
              <w:lang w:val="zh-CN" w:eastAsia="zh-CN" w:bidi="ar-SA"/>
            </w:rPr>
            <w:t>录</w:t>
          </w:r>
        </w:p>
        <w:p w14:paraId="3DB424B8">
          <w:pPr>
            <w:pStyle w:val="6"/>
            <w:tabs>
              <w:tab w:val="right" w:leader="dot" w:pos="20415"/>
            </w:tabs>
          </w:pPr>
          <w:r>
            <w:rPr>
              <w:rFonts w:ascii="宋体" w:hAnsi="宋体" w:eastAsia="宋体" w:cs="Times New Roman"/>
              <w:kern w:val="0"/>
              <w:sz w:val="28"/>
              <w:szCs w:val="28"/>
              <w:u w:val="none"/>
              <w:lang w:val="en-US" w:eastAsia="zh-CN" w:bidi="ar-SA"/>
            </w:rPr>
            <w:fldChar w:fldCharType="begin"/>
          </w:r>
          <w:r>
            <w:rPr>
              <w:rFonts w:ascii="宋体" w:hAnsi="宋体" w:eastAsia="宋体" w:cs="Times New Roman"/>
              <w:kern w:val="0"/>
              <w:sz w:val="28"/>
              <w:szCs w:val="28"/>
              <w:u w:val="none"/>
              <w:lang w:val="en-US" w:eastAsia="zh-CN" w:bidi="ar-SA"/>
            </w:rPr>
            <w:instrText xml:space="preserve"> TOC \o "1-3" \h \z \u </w:instrText>
          </w:r>
          <w:r>
            <w:rPr>
              <w:rFonts w:ascii="宋体" w:hAnsi="宋体" w:eastAsia="宋体" w:cs="Times New Roman"/>
              <w:kern w:val="0"/>
              <w:sz w:val="28"/>
              <w:szCs w:val="28"/>
              <w:u w:val="none"/>
              <w:lang w:val="en-US" w:eastAsia="zh-CN" w:bidi="ar-SA"/>
            </w:rPr>
            <w:fldChar w:fldCharType="separate"/>
          </w:r>
          <w:r>
            <w:rPr>
              <w:rFonts w:ascii="宋体" w:hAnsi="宋体" w:eastAsia="宋体" w:cs="Times New Roman"/>
              <w:bCs/>
              <w:szCs w:val="28"/>
              <w:u w:val="none"/>
              <w:lang w:val="zh-CN"/>
            </w:rPr>
            <w:fldChar w:fldCharType="begin"/>
          </w:r>
          <w:r>
            <w:rPr>
              <w:rFonts w:ascii="宋体" w:hAnsi="宋体" w:eastAsia="宋体" w:cs="Times New Roman"/>
              <w:bCs/>
              <w:szCs w:val="28"/>
              <w:lang w:val="zh-CN"/>
            </w:rPr>
            <w:instrText xml:space="preserve"> HYPERLINK \l _Toc13087 </w:instrText>
          </w:r>
          <w:r>
            <w:rPr>
              <w:rFonts w:ascii="宋体" w:hAnsi="宋体" w:eastAsia="宋体" w:cs="Times New Roman"/>
              <w:bCs/>
              <w:szCs w:val="28"/>
              <w:lang w:val="zh-CN"/>
            </w:rPr>
            <w:fldChar w:fldCharType="separate"/>
          </w:r>
          <w:r>
            <w:rPr>
              <w:rFonts w:hint="eastAsia" w:ascii="黑体" w:hAnsi="黑体" w:eastAsia="黑体" w:cs="黑体"/>
              <w:bCs/>
              <w:spacing w:val="-4"/>
              <w:kern w:val="44"/>
              <w:szCs w:val="32"/>
            </w:rPr>
            <w:t>一、保亭黎族苗族自治县总体生态环境管控要求</w:t>
          </w:r>
          <w:r>
            <w:tab/>
          </w:r>
          <w:r>
            <w:fldChar w:fldCharType="begin"/>
          </w:r>
          <w:r>
            <w:instrText xml:space="preserve"> PAGEREF _Toc13087 \h </w:instrText>
          </w:r>
          <w:r>
            <w:fldChar w:fldCharType="separate"/>
          </w:r>
          <w:r>
            <w:t>5</w:t>
          </w:r>
          <w:r>
            <w:fldChar w:fldCharType="end"/>
          </w:r>
          <w:r>
            <w:rPr>
              <w:rFonts w:ascii="宋体" w:hAnsi="宋体" w:eastAsia="宋体" w:cs="Times New Roman"/>
              <w:bCs/>
              <w:szCs w:val="28"/>
              <w:u w:val="none"/>
              <w:lang w:val="zh-CN"/>
            </w:rPr>
            <w:fldChar w:fldCharType="end"/>
          </w:r>
        </w:p>
        <w:p w14:paraId="34C953B3">
          <w:pPr>
            <w:pStyle w:val="6"/>
            <w:tabs>
              <w:tab w:val="right" w:leader="dot" w:pos="20415"/>
            </w:tabs>
          </w:pPr>
          <w:r>
            <w:rPr>
              <w:rFonts w:ascii="宋体" w:hAnsi="宋体" w:eastAsia="宋体" w:cs="Times New Roman"/>
              <w:bCs/>
              <w:szCs w:val="28"/>
              <w:u w:val="none"/>
              <w:lang w:val="zh-CN"/>
            </w:rPr>
            <w:fldChar w:fldCharType="begin"/>
          </w:r>
          <w:r>
            <w:rPr>
              <w:rFonts w:ascii="宋体" w:hAnsi="宋体" w:eastAsia="宋体" w:cs="Times New Roman"/>
              <w:bCs/>
              <w:szCs w:val="28"/>
              <w:lang w:val="zh-CN"/>
            </w:rPr>
            <w:instrText xml:space="preserve"> HYPERLINK \l _Toc10310 </w:instrText>
          </w:r>
          <w:r>
            <w:rPr>
              <w:rFonts w:ascii="宋体" w:hAnsi="宋体" w:eastAsia="宋体" w:cs="Times New Roman"/>
              <w:bCs/>
              <w:szCs w:val="28"/>
              <w:lang w:val="zh-CN"/>
            </w:rPr>
            <w:fldChar w:fldCharType="separate"/>
          </w:r>
          <w:r>
            <w:rPr>
              <w:rFonts w:hint="eastAsia" w:ascii="黑体" w:hAnsi="黑体" w:eastAsia="黑体" w:cs="黑体"/>
              <w:bCs/>
              <w:spacing w:val="-4"/>
              <w:kern w:val="44"/>
              <w:szCs w:val="32"/>
              <w:lang w:val="en-US" w:eastAsia="zh-CN"/>
            </w:rPr>
            <w:t>二</w:t>
          </w:r>
          <w:r>
            <w:rPr>
              <w:rFonts w:hint="eastAsia" w:ascii="黑体" w:hAnsi="黑体" w:eastAsia="黑体" w:cs="黑体"/>
              <w:bCs/>
              <w:spacing w:val="-4"/>
              <w:kern w:val="44"/>
              <w:szCs w:val="32"/>
            </w:rPr>
            <w:t>、保亭黎族苗族自治县生态环境准入清单</w:t>
          </w:r>
          <w:r>
            <w:tab/>
          </w:r>
          <w:r>
            <w:fldChar w:fldCharType="begin"/>
          </w:r>
          <w:r>
            <w:instrText xml:space="preserve"> PAGEREF _Toc10310 \h </w:instrText>
          </w:r>
          <w:r>
            <w:fldChar w:fldCharType="separate"/>
          </w:r>
          <w:r>
            <w:t>7</w:t>
          </w:r>
          <w:r>
            <w:fldChar w:fldCharType="end"/>
          </w:r>
          <w:r>
            <w:rPr>
              <w:rFonts w:ascii="宋体" w:hAnsi="宋体" w:eastAsia="宋体" w:cs="Times New Roman"/>
              <w:bCs/>
              <w:szCs w:val="28"/>
              <w:u w:val="none"/>
              <w:lang w:val="zh-CN"/>
            </w:rPr>
            <w:fldChar w:fldCharType="end"/>
          </w:r>
        </w:p>
        <w:p w14:paraId="6B67A78C">
          <w:pPr>
            <w:ind w:firstLine="0" w:firstLineChars="0"/>
            <w:rPr>
              <w:rFonts w:hint="eastAsia" w:ascii="宋体" w:hAnsi="宋体" w:eastAsia="宋体" w:cs="Times New Roman"/>
              <w:bCs/>
              <w:spacing w:val="-4"/>
              <w:kern w:val="44"/>
              <w:sz w:val="36"/>
              <w:szCs w:val="36"/>
              <w:u w:val="none"/>
            </w:rPr>
          </w:pPr>
          <w:r>
            <w:rPr>
              <w:rFonts w:ascii="宋体" w:hAnsi="宋体" w:eastAsia="宋体" w:cs="Times New Roman"/>
              <w:bCs/>
              <w:szCs w:val="28"/>
              <w:u w:val="none"/>
              <w:lang w:val="zh-CN"/>
            </w:rPr>
            <w:fldChar w:fldCharType="end"/>
          </w:r>
        </w:p>
      </w:sdtContent>
    </w:sdt>
    <w:p w14:paraId="0E11500C">
      <w:pPr>
        <w:keepNext/>
        <w:keepLines/>
        <w:adjustRightInd w:val="0"/>
        <w:snapToGrid w:val="0"/>
        <w:outlineLvl w:val="0"/>
        <w:rPr>
          <w:rFonts w:hint="eastAsia" w:ascii="宋体" w:hAnsi="宋体" w:eastAsia="宋体"/>
          <w:bCs/>
          <w:spacing w:val="-4"/>
          <w:kern w:val="44"/>
          <w:sz w:val="36"/>
          <w:szCs w:val="36"/>
          <w:u w:val="none"/>
        </w:rPr>
        <w:sectPr>
          <w:footerReference r:id="rId10" w:type="default"/>
          <w:pgSz w:w="23817" w:h="16838" w:orient="landscape"/>
          <w:pgMar w:top="1587" w:right="1701" w:bottom="1474" w:left="1701" w:header="850" w:footer="992" w:gutter="0"/>
          <w:pgNumType w:fmt="decimal"/>
          <w:cols w:space="0" w:num="1"/>
          <w:docGrid w:type="lines" w:linePitch="312" w:charSpace="0"/>
        </w:sectPr>
      </w:pPr>
    </w:p>
    <w:p w14:paraId="03EEE842">
      <w:pPr>
        <w:keepNext/>
        <w:keepLines/>
        <w:adjustRightInd w:val="0"/>
        <w:snapToGrid w:val="0"/>
        <w:ind w:firstLine="0" w:firstLineChars="0"/>
        <w:outlineLvl w:val="0"/>
        <w:rPr>
          <w:rFonts w:hint="eastAsia" w:ascii="黑体" w:hAnsi="黑体" w:eastAsia="黑体" w:cs="黑体"/>
          <w:bCs/>
          <w:spacing w:val="-4"/>
          <w:kern w:val="44"/>
          <w:sz w:val="32"/>
          <w:szCs w:val="32"/>
          <w:u w:val="none"/>
          <w:lang w:eastAsia="zh-CN"/>
        </w:rPr>
      </w:pPr>
      <w:bookmarkStart w:id="20" w:name="_Toc13087"/>
      <w:bookmarkStart w:id="21" w:name="_Toc20031"/>
      <w:r>
        <w:rPr>
          <w:rFonts w:hint="eastAsia" w:ascii="黑体" w:hAnsi="黑体" w:eastAsia="黑体" w:cs="黑体"/>
          <w:bCs/>
          <w:spacing w:val="-4"/>
          <w:kern w:val="44"/>
          <w:sz w:val="32"/>
          <w:szCs w:val="32"/>
          <w:u w:val="none"/>
        </w:rPr>
        <w:t>一、保亭黎族苗族自治县总体生态环境管控要求</w:t>
      </w:r>
      <w:bookmarkEnd w:id="20"/>
      <w:bookmarkEnd w:id="21"/>
    </w:p>
    <w:p w14:paraId="40C5BDD2">
      <w:pPr>
        <w:adjustRightInd w:val="0"/>
        <w:snapToGrid w:val="0"/>
        <w:ind w:firstLine="0" w:firstLineChars="0"/>
        <w:jc w:val="center"/>
        <w:rPr>
          <w:rFonts w:hint="eastAsia" w:ascii="黑体" w:hAnsi="黑体" w:eastAsia="黑体" w:cs="黑体"/>
          <w:bCs/>
          <w:sz w:val="28"/>
          <w:szCs w:val="28"/>
          <w:u w:val="none"/>
        </w:rPr>
      </w:pPr>
      <w:r>
        <w:rPr>
          <w:rFonts w:hint="eastAsia" w:ascii="黑体" w:hAnsi="黑体" w:eastAsia="黑体" w:cs="黑体"/>
          <w:bCs/>
          <w:sz w:val="28"/>
          <w:szCs w:val="28"/>
          <w:u w:val="none"/>
        </w:rPr>
        <w:t>表</w:t>
      </w:r>
      <w:r>
        <w:rPr>
          <w:rFonts w:hint="eastAsia" w:ascii="黑体" w:hAnsi="黑体" w:eastAsia="黑体" w:cs="黑体"/>
          <w:bCs/>
          <w:sz w:val="28"/>
          <w:szCs w:val="28"/>
          <w:u w:val="none"/>
          <w:lang w:val="en-US" w:eastAsia="zh-CN"/>
        </w:rPr>
        <w:t>1</w:t>
      </w:r>
      <w:r>
        <w:rPr>
          <w:rFonts w:hint="eastAsia" w:ascii="黑体" w:hAnsi="黑体" w:eastAsia="黑体" w:cs="黑体"/>
          <w:bCs/>
          <w:sz w:val="28"/>
          <w:szCs w:val="28"/>
          <w:u w:val="none"/>
        </w:rPr>
        <w:t>-1保亭黎族苗族自治县总体生态环境管控要求</w:t>
      </w:r>
      <w:bookmarkStart w:id="22" w:name="_Toc20080"/>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589"/>
        <w:gridCol w:w="648"/>
        <w:gridCol w:w="11646"/>
        <w:gridCol w:w="5741"/>
      </w:tblGrid>
      <w:tr w14:paraId="41D3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4" w:type="pct"/>
            <w:tcBorders>
              <w:tl2br w:val="nil"/>
              <w:tr2bl w:val="nil"/>
            </w:tcBorders>
            <w:vAlign w:val="center"/>
          </w:tcPr>
          <w:p w14:paraId="708D7087">
            <w:pPr>
              <w:widowControl/>
              <w:spacing w:line="240" w:lineRule="auto"/>
              <w:ind w:firstLine="0" w:firstLineChars="0"/>
              <w:jc w:val="center"/>
              <w:textAlignment w:val="center"/>
              <w:rPr>
                <w:rFonts w:hint="eastAsia" w:ascii="宋体" w:hAnsi="宋体" w:eastAsia="宋体" w:cs="Times New Roman"/>
                <w:b/>
                <w:sz w:val="21"/>
                <w:szCs w:val="21"/>
                <w:u w:val="none"/>
              </w:rPr>
            </w:pPr>
            <w:r>
              <w:rPr>
                <w:rFonts w:ascii="宋体" w:hAnsi="宋体" w:eastAsia="宋体" w:cs="Times New Roman"/>
                <w:b/>
                <w:bCs/>
                <w:kern w:val="0"/>
                <w:sz w:val="21"/>
                <w:szCs w:val="21"/>
                <w:u w:val="none"/>
                <w:lang w:eastAsia="en-US"/>
              </w:rPr>
              <w:t>管控要求分类</w:t>
            </w:r>
          </w:p>
        </w:tc>
        <w:tc>
          <w:tcPr>
            <w:tcW w:w="385" w:type="pct"/>
            <w:tcBorders>
              <w:tl2br w:val="nil"/>
              <w:tr2bl w:val="nil"/>
            </w:tcBorders>
            <w:vAlign w:val="center"/>
          </w:tcPr>
          <w:p w14:paraId="59FED2C8">
            <w:pPr>
              <w:widowControl/>
              <w:spacing w:line="240" w:lineRule="auto"/>
              <w:ind w:firstLine="0" w:firstLineChars="0"/>
              <w:jc w:val="center"/>
              <w:textAlignment w:val="center"/>
              <w:rPr>
                <w:rFonts w:hint="eastAsia" w:ascii="宋体" w:hAnsi="宋体" w:eastAsia="宋体" w:cs="Times New Roman"/>
                <w:b/>
                <w:sz w:val="21"/>
                <w:szCs w:val="21"/>
                <w:u w:val="none"/>
              </w:rPr>
            </w:pPr>
            <w:r>
              <w:rPr>
                <w:rFonts w:ascii="宋体" w:hAnsi="宋体" w:eastAsia="宋体" w:cs="Times New Roman"/>
                <w:b/>
                <w:bCs/>
                <w:kern w:val="0"/>
                <w:sz w:val="21"/>
                <w:szCs w:val="21"/>
                <w:u w:val="none"/>
                <w:lang w:bidi="ar"/>
              </w:rPr>
              <w:t>清单编制要求</w:t>
            </w:r>
          </w:p>
        </w:tc>
        <w:tc>
          <w:tcPr>
            <w:tcW w:w="157" w:type="pct"/>
            <w:tcBorders>
              <w:tl2br w:val="nil"/>
              <w:tr2bl w:val="nil"/>
            </w:tcBorders>
            <w:vAlign w:val="center"/>
          </w:tcPr>
          <w:p w14:paraId="5B9D52E4">
            <w:pPr>
              <w:widowControl/>
              <w:spacing w:line="240" w:lineRule="auto"/>
              <w:ind w:firstLine="0" w:firstLineChars="0"/>
              <w:jc w:val="center"/>
              <w:textAlignment w:val="center"/>
              <w:rPr>
                <w:rFonts w:hint="eastAsia" w:ascii="宋体" w:hAnsi="宋体" w:eastAsia="宋体" w:cs="Times New Roman"/>
                <w:b/>
                <w:sz w:val="21"/>
                <w:szCs w:val="21"/>
                <w:u w:val="none"/>
              </w:rPr>
            </w:pPr>
            <w:r>
              <w:rPr>
                <w:rFonts w:hint="eastAsia" w:ascii="宋体" w:hAnsi="宋体" w:eastAsia="宋体" w:cs="Times New Roman"/>
                <w:b/>
                <w:bCs/>
                <w:kern w:val="0"/>
                <w:sz w:val="21"/>
                <w:szCs w:val="21"/>
                <w:u w:val="none"/>
                <w:lang w:bidi="ar"/>
              </w:rPr>
              <w:t>序</w:t>
            </w:r>
            <w:r>
              <w:rPr>
                <w:rFonts w:ascii="宋体" w:hAnsi="宋体" w:eastAsia="宋体" w:cs="Times New Roman"/>
                <w:b/>
                <w:bCs/>
                <w:kern w:val="0"/>
                <w:sz w:val="21"/>
                <w:szCs w:val="21"/>
                <w:u w:val="none"/>
                <w:lang w:bidi="ar"/>
              </w:rPr>
              <w:t>号</w:t>
            </w:r>
          </w:p>
        </w:tc>
        <w:tc>
          <w:tcPr>
            <w:tcW w:w="2822" w:type="pct"/>
            <w:tcBorders>
              <w:tl2br w:val="nil"/>
              <w:tr2bl w:val="nil"/>
            </w:tcBorders>
            <w:vAlign w:val="center"/>
          </w:tcPr>
          <w:p w14:paraId="544190CB">
            <w:pPr>
              <w:widowControl/>
              <w:spacing w:line="240" w:lineRule="auto"/>
              <w:ind w:firstLine="0" w:firstLineChars="0"/>
              <w:jc w:val="center"/>
              <w:textAlignment w:val="center"/>
              <w:rPr>
                <w:rFonts w:hint="eastAsia" w:ascii="宋体" w:hAnsi="宋体" w:eastAsia="宋体" w:cs="Times New Roman"/>
                <w:b/>
                <w:bCs/>
                <w:kern w:val="0"/>
                <w:sz w:val="21"/>
                <w:szCs w:val="21"/>
                <w:u w:val="none"/>
                <w:lang w:bidi="ar"/>
              </w:rPr>
            </w:pPr>
            <w:r>
              <w:rPr>
                <w:rFonts w:ascii="宋体" w:hAnsi="宋体" w:eastAsia="宋体" w:cs="Times New Roman"/>
                <w:b/>
                <w:bCs/>
                <w:kern w:val="0"/>
                <w:sz w:val="21"/>
                <w:szCs w:val="21"/>
                <w:u w:val="none"/>
                <w:lang w:bidi="ar"/>
              </w:rPr>
              <w:t>普适性管控要求</w:t>
            </w:r>
          </w:p>
        </w:tc>
        <w:tc>
          <w:tcPr>
            <w:tcW w:w="1391" w:type="pct"/>
            <w:tcBorders>
              <w:tl2br w:val="nil"/>
              <w:tr2bl w:val="nil"/>
            </w:tcBorders>
            <w:vAlign w:val="center"/>
          </w:tcPr>
          <w:p w14:paraId="236885E6">
            <w:pPr>
              <w:widowControl/>
              <w:spacing w:line="240" w:lineRule="auto"/>
              <w:ind w:firstLine="0" w:firstLineChars="0"/>
              <w:jc w:val="center"/>
              <w:textAlignment w:val="center"/>
              <w:rPr>
                <w:rFonts w:hint="eastAsia" w:ascii="宋体" w:hAnsi="宋体" w:eastAsia="宋体" w:cs="Times New Roman"/>
                <w:b/>
                <w:sz w:val="21"/>
                <w:szCs w:val="21"/>
                <w:u w:val="none"/>
              </w:rPr>
            </w:pPr>
            <w:r>
              <w:rPr>
                <w:rFonts w:ascii="宋体" w:hAnsi="宋体" w:eastAsia="宋体" w:cs="Times New Roman"/>
                <w:b/>
                <w:bCs/>
                <w:kern w:val="0"/>
                <w:sz w:val="21"/>
                <w:szCs w:val="21"/>
                <w:u w:val="none"/>
                <w:lang w:bidi="ar"/>
              </w:rPr>
              <w:t>编制依据</w:t>
            </w:r>
          </w:p>
        </w:tc>
      </w:tr>
      <w:tr w14:paraId="7C9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tcBorders>
              <w:tl2br w:val="nil"/>
              <w:tr2bl w:val="nil"/>
            </w:tcBorders>
            <w:vAlign w:val="center"/>
          </w:tcPr>
          <w:p w14:paraId="1A2547D5">
            <w:pPr>
              <w:widowControl/>
              <w:spacing w:line="240" w:lineRule="auto"/>
              <w:ind w:firstLine="0" w:firstLineChars="0"/>
              <w:jc w:val="center"/>
              <w:textAlignment w:val="center"/>
              <w:rPr>
                <w:rFonts w:hint="eastAsia" w:ascii="宋体" w:hAnsi="宋体" w:eastAsia="宋体" w:cs="Times New Roman"/>
                <w:sz w:val="21"/>
                <w:szCs w:val="22"/>
                <w:u w:val="none"/>
                <w:lang w:bidi="ar"/>
              </w:rPr>
            </w:pPr>
            <w:r>
              <w:rPr>
                <w:rFonts w:ascii="宋体" w:hAnsi="宋体" w:eastAsia="宋体" w:cs="Times New Roman"/>
                <w:sz w:val="21"/>
                <w:szCs w:val="21"/>
                <w:u w:val="none"/>
              </w:rPr>
              <w:t>空间布局约束</w:t>
            </w:r>
          </w:p>
        </w:tc>
        <w:tc>
          <w:tcPr>
            <w:tcW w:w="385" w:type="pct"/>
            <w:vMerge w:val="restart"/>
            <w:tcBorders>
              <w:tl2br w:val="nil"/>
              <w:tr2bl w:val="nil"/>
            </w:tcBorders>
            <w:vAlign w:val="center"/>
          </w:tcPr>
          <w:p w14:paraId="4F39416B">
            <w:pPr>
              <w:widowControl/>
              <w:spacing w:line="240" w:lineRule="auto"/>
              <w:ind w:firstLine="0" w:firstLineChars="0"/>
              <w:jc w:val="center"/>
              <w:textAlignment w:val="center"/>
              <w:rPr>
                <w:rFonts w:hint="eastAsia" w:ascii="宋体" w:hAnsi="宋体" w:eastAsia="宋体" w:cs="Times New Roman"/>
                <w:sz w:val="21"/>
                <w:szCs w:val="22"/>
                <w:u w:val="none"/>
                <w:lang w:bidi="ar"/>
              </w:rPr>
            </w:pPr>
            <w:r>
              <w:rPr>
                <w:rFonts w:hint="eastAsia" w:asciiTheme="minorEastAsia" w:hAnsiTheme="minorEastAsia" w:eastAsiaTheme="minorEastAsia" w:cstheme="minorEastAsia"/>
                <w:color w:val="auto"/>
                <w:sz w:val="21"/>
                <w:szCs w:val="21"/>
                <w:highlight w:val="none"/>
                <w:u w:val="none"/>
              </w:rPr>
              <w:t>禁止开发建设活动的要求</w:t>
            </w:r>
          </w:p>
        </w:tc>
        <w:tc>
          <w:tcPr>
            <w:tcW w:w="157" w:type="pct"/>
            <w:tcBorders>
              <w:tl2br w:val="nil"/>
              <w:tr2bl w:val="nil"/>
            </w:tcBorders>
            <w:shd w:val="clear" w:color="auto" w:fill="auto"/>
            <w:vAlign w:val="center"/>
          </w:tcPr>
          <w:p w14:paraId="4F301E35">
            <w:pPr>
              <w:widowControl/>
              <w:numPr>
                <w:ilvl w:val="0"/>
                <w:numId w:val="0"/>
              </w:numPr>
              <w:spacing w:line="240" w:lineRule="auto"/>
              <w:ind w:leftChars="0"/>
              <w:jc w:val="center"/>
              <w:textAlignment w:val="center"/>
              <w:rPr>
                <w:rFonts w:hint="eastAsia"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1</w:t>
            </w:r>
          </w:p>
        </w:tc>
        <w:tc>
          <w:tcPr>
            <w:tcW w:w="2822" w:type="pct"/>
            <w:tcBorders>
              <w:tl2br w:val="nil"/>
              <w:tr2bl w:val="nil"/>
            </w:tcBorders>
            <w:shd w:val="clear" w:color="auto" w:fill="auto"/>
            <w:vAlign w:val="center"/>
          </w:tcPr>
          <w:p w14:paraId="4FD810FA">
            <w:pPr>
              <w:widowControl/>
              <w:spacing w:line="240" w:lineRule="auto"/>
              <w:ind w:firstLine="0" w:firstLineChars="0"/>
              <w:textAlignment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1.推进产业结构转型升级，严格执行《海南省产业准入禁止限制目录》建立产业准入负面清单制度，严控高能耗、高污染、高排放产业和低端制造业发展【1】。</w:t>
            </w:r>
          </w:p>
          <w:p w14:paraId="00F84529">
            <w:pPr>
              <w:widowControl/>
              <w:spacing w:line="240" w:lineRule="auto"/>
              <w:ind w:firstLine="0" w:firstLineChars="0"/>
              <w:textAlignment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2.禁止开发建设《海南省产业准入禁止限制目录(2025年版)》中所列的禁止类项目【2】。</w:t>
            </w:r>
          </w:p>
        </w:tc>
        <w:tc>
          <w:tcPr>
            <w:tcW w:w="1391" w:type="pct"/>
            <w:tcBorders>
              <w:tl2br w:val="nil"/>
              <w:tr2bl w:val="nil"/>
            </w:tcBorders>
            <w:shd w:val="clear" w:color="auto" w:fill="auto"/>
            <w:vAlign w:val="center"/>
          </w:tcPr>
          <w:p w14:paraId="1BEC4A17">
            <w:pPr>
              <w:widowControl/>
              <w:spacing w:line="240" w:lineRule="auto"/>
              <w:ind w:firstLine="0" w:firstLineChars="0"/>
              <w:textAlignment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《海南省国十空间规划(2021-2035 年)》</w:t>
            </w:r>
            <w:r>
              <w:rPr>
                <w:rFonts w:hint="eastAsia" w:ascii="宋体" w:hAnsi="宋体" w:eastAsia="宋体" w:cs="Times New Roman"/>
                <w:sz w:val="21"/>
                <w:szCs w:val="21"/>
                <w:u w:val="none"/>
                <w:lang w:eastAsia="zh-CN"/>
              </w:rPr>
              <w:t>【</w:t>
            </w:r>
            <w:r>
              <w:rPr>
                <w:rFonts w:hint="eastAsia" w:ascii="宋体" w:hAnsi="宋体" w:eastAsia="宋体" w:cs="Times New Roman"/>
                <w:sz w:val="21"/>
                <w:szCs w:val="21"/>
                <w:u w:val="none"/>
              </w:rPr>
              <w:t>1】</w:t>
            </w:r>
          </w:p>
          <w:p w14:paraId="61AE8084">
            <w:pPr>
              <w:widowControl/>
              <w:spacing w:line="240" w:lineRule="auto"/>
              <w:ind w:firstLine="0" w:firstLineChars="0"/>
              <w:textAlignment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《海南省产业准入禁止限制目录(2025 年版)》(琼发改产业</w:t>
            </w:r>
          </w:p>
          <w:p w14:paraId="26D9BA9D">
            <w:pPr>
              <w:widowControl/>
              <w:spacing w:line="240" w:lineRule="auto"/>
              <w:ind w:firstLine="0" w:firstLineChars="0"/>
              <w:textAlignment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(2025)203号)【2】</w:t>
            </w:r>
          </w:p>
        </w:tc>
      </w:tr>
      <w:tr w14:paraId="5751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092CE3E1">
            <w:pPr>
              <w:widowControl/>
              <w:spacing w:line="240" w:lineRule="auto"/>
              <w:ind w:firstLine="0" w:firstLineChars="0"/>
              <w:jc w:val="center"/>
              <w:textAlignment w:val="center"/>
              <w:rPr>
                <w:rFonts w:ascii="宋体" w:hAnsi="宋体" w:eastAsia="宋体" w:cs="Times New Roman"/>
                <w:sz w:val="21"/>
                <w:szCs w:val="21"/>
                <w:u w:val="none"/>
              </w:rPr>
            </w:pPr>
          </w:p>
        </w:tc>
        <w:tc>
          <w:tcPr>
            <w:tcW w:w="385" w:type="pct"/>
            <w:vMerge w:val="continue"/>
            <w:tcBorders>
              <w:tl2br w:val="nil"/>
              <w:tr2bl w:val="nil"/>
            </w:tcBorders>
            <w:vAlign w:val="center"/>
          </w:tcPr>
          <w:p w14:paraId="343E7903">
            <w:pPr>
              <w:widowControl/>
              <w:spacing w:line="240" w:lineRule="auto"/>
              <w:ind w:firstLine="0" w:firstLineChars="0"/>
              <w:jc w:val="center"/>
              <w:textAlignment w:val="center"/>
              <w:rPr>
                <w:rFonts w:hint="eastAsia" w:asciiTheme="minorEastAsia" w:hAnsiTheme="minorEastAsia" w:eastAsiaTheme="minorEastAsia" w:cstheme="minorEastAsia"/>
                <w:color w:val="auto"/>
                <w:sz w:val="21"/>
                <w:szCs w:val="21"/>
                <w:highlight w:val="none"/>
                <w:u w:val="none"/>
              </w:rPr>
            </w:pPr>
          </w:p>
        </w:tc>
        <w:tc>
          <w:tcPr>
            <w:tcW w:w="157" w:type="pct"/>
            <w:tcBorders>
              <w:tl2br w:val="nil"/>
              <w:tr2bl w:val="nil"/>
            </w:tcBorders>
            <w:shd w:val="clear" w:color="auto" w:fill="auto"/>
            <w:vAlign w:val="center"/>
          </w:tcPr>
          <w:p w14:paraId="5F83CE9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val="en-US" w:eastAsia="zh-CN"/>
              </w:rPr>
              <w:t>2</w:t>
            </w:r>
          </w:p>
        </w:tc>
        <w:tc>
          <w:tcPr>
            <w:tcW w:w="2822" w:type="pct"/>
            <w:tcBorders>
              <w:tl2br w:val="nil"/>
              <w:tr2bl w:val="nil"/>
            </w:tcBorders>
            <w:shd w:val="clear" w:color="auto" w:fill="auto"/>
            <w:vAlign w:val="center"/>
          </w:tcPr>
          <w:p w14:paraId="2B8DBC4D">
            <w:pPr>
              <w:keepNext w:val="0"/>
              <w:keepLines w:val="0"/>
              <w:pageBreakBefore w:val="0"/>
              <w:widowControl/>
              <w:kinsoku/>
              <w:wordWrap/>
              <w:overflowPunct/>
              <w:topLinePunct w:val="0"/>
              <w:bidi w:val="0"/>
              <w:adjustRightInd/>
              <w:snapToGrid/>
              <w:spacing w:line="240" w:lineRule="auto"/>
              <w:ind w:left="0" w:leftChars="0" w:firstLine="0" w:firstLineChars="0"/>
              <w:jc w:val="left"/>
              <w:textAlignment w:val="auto"/>
              <w:rPr>
                <w:rFonts w:hint="eastAsia" w:asciiTheme="minorEastAsia" w:hAnsiTheme="minorEastAsia" w:eastAsiaTheme="minorEastAsia" w:cstheme="minorEastAsia"/>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lang w:val="en-US" w:eastAsia="zh-CN"/>
              </w:rPr>
              <w:t>1.</w:t>
            </w:r>
            <w:r>
              <w:rPr>
                <w:rFonts w:hint="eastAsia" w:asciiTheme="minorEastAsia" w:hAnsiTheme="minorEastAsia" w:eastAsiaTheme="minorEastAsia" w:cstheme="minorEastAsia"/>
                <w:color w:val="auto"/>
                <w:sz w:val="21"/>
                <w:szCs w:val="21"/>
                <w:highlight w:val="none"/>
                <w:u w:val="none"/>
              </w:rPr>
              <w:t>严格执行停止审批新设除建筑用砂石土、地热(水)、矿泉水以外采矿权的有关规定。禁止在生态保护红线区、永久基本农田、一级保护林地、城镇开发边界内、自然保护地、饮用水水源保护区、文物保护单位等保护范围内和铁路、高速公路可视范围内新设建筑用砂石土采矿权。严控地热(水)、矿泉水开发,编制地热水开发利用专项规划，严格控制开采量</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rPr>
              <w:t>不得实施混层开采，不属于国家、省重点项目配套的矿泉水、地热(水)开采项目原则上不得在承压水分布区新设采矿权。停止审批新设探矿权【1】。</w:t>
            </w:r>
          </w:p>
          <w:p w14:paraId="70D7BDD5">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none"/>
              </w:rPr>
              <w:t>除按规划、法规批准的建筑用沙、石、土矿外，禁止新建露天矿山【2】。</w:t>
            </w:r>
          </w:p>
        </w:tc>
        <w:tc>
          <w:tcPr>
            <w:tcW w:w="1391" w:type="pct"/>
            <w:tcBorders>
              <w:tl2br w:val="nil"/>
              <w:tr2bl w:val="nil"/>
            </w:tcBorders>
            <w:shd w:val="clear" w:color="auto" w:fill="auto"/>
            <w:vAlign w:val="center"/>
          </w:tcPr>
          <w:p w14:paraId="5056A37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rPr>
              <w:t>《海南省人民政府办公厅关于进一步加强矿业权管理的通知》（琼府办〔2024〕12号）【1】一</w:t>
            </w:r>
          </w:p>
          <w:p w14:paraId="30AD0808">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rPr>
              <w:t>《海南省全面加强生态环境保护坚决打好污染防治攻坚战行动方案》（琼发〔2019〕6号）【2】二（五）26</w:t>
            </w:r>
          </w:p>
        </w:tc>
      </w:tr>
      <w:tr w14:paraId="7872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179D2628">
            <w:pPr>
              <w:widowControl/>
              <w:spacing w:line="240" w:lineRule="auto"/>
              <w:ind w:firstLine="0" w:firstLineChars="0"/>
              <w:jc w:val="center"/>
              <w:textAlignment w:val="center"/>
              <w:rPr>
                <w:rFonts w:ascii="宋体" w:hAnsi="宋体" w:eastAsia="宋体" w:cs="Times New Roman"/>
                <w:sz w:val="21"/>
                <w:szCs w:val="21"/>
                <w:u w:val="none"/>
              </w:rPr>
            </w:pPr>
          </w:p>
        </w:tc>
        <w:tc>
          <w:tcPr>
            <w:tcW w:w="385" w:type="pct"/>
            <w:vMerge w:val="continue"/>
            <w:tcBorders>
              <w:tl2br w:val="nil"/>
              <w:tr2bl w:val="nil"/>
            </w:tcBorders>
            <w:vAlign w:val="center"/>
          </w:tcPr>
          <w:p w14:paraId="0DD3136C">
            <w:pPr>
              <w:widowControl/>
              <w:spacing w:line="240" w:lineRule="auto"/>
              <w:ind w:firstLine="0" w:firstLineChars="0"/>
              <w:jc w:val="center"/>
              <w:textAlignment w:val="center"/>
              <w:rPr>
                <w:rFonts w:hint="eastAsia" w:asciiTheme="minorEastAsia" w:hAnsiTheme="minorEastAsia" w:eastAsiaTheme="minorEastAsia" w:cstheme="minorEastAsia"/>
                <w:color w:val="auto"/>
                <w:sz w:val="21"/>
                <w:szCs w:val="21"/>
                <w:highlight w:val="none"/>
                <w:u w:val="none"/>
              </w:rPr>
            </w:pPr>
          </w:p>
        </w:tc>
        <w:tc>
          <w:tcPr>
            <w:tcW w:w="157" w:type="pct"/>
            <w:tcBorders>
              <w:tl2br w:val="nil"/>
              <w:tr2bl w:val="nil"/>
            </w:tcBorders>
            <w:shd w:val="clear" w:color="auto" w:fill="auto"/>
            <w:vAlign w:val="center"/>
          </w:tcPr>
          <w:p w14:paraId="16C3958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val="en-US" w:eastAsia="zh-CN"/>
              </w:rPr>
              <w:t>3</w:t>
            </w:r>
          </w:p>
        </w:tc>
        <w:tc>
          <w:tcPr>
            <w:tcW w:w="2822" w:type="pct"/>
            <w:tcBorders>
              <w:tl2br w:val="nil"/>
              <w:tr2bl w:val="nil"/>
            </w:tcBorders>
            <w:shd w:val="clear" w:color="auto" w:fill="auto"/>
            <w:vAlign w:val="center"/>
          </w:tcPr>
          <w:p w14:paraId="7BD3E1A5">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kern w:val="2"/>
                <w:sz w:val="21"/>
                <w:szCs w:val="21"/>
                <w:highlight w:val="none"/>
                <w:u w:val="none"/>
                <w:lang w:val="en-US" w:eastAsia="zh-CN" w:bidi="ar-SA"/>
              </w:rPr>
              <w:t>全面禁止建设独立小水电，因地制宜实施以安全、环保为目标的小水电技术改造工作，逐步淘汰落后小水电。</w:t>
            </w:r>
          </w:p>
        </w:tc>
        <w:tc>
          <w:tcPr>
            <w:tcW w:w="1391" w:type="pct"/>
            <w:tcBorders>
              <w:tl2br w:val="nil"/>
              <w:tr2bl w:val="nil"/>
            </w:tcBorders>
            <w:shd w:val="clear" w:color="auto" w:fill="auto"/>
            <w:vAlign w:val="center"/>
          </w:tcPr>
          <w:p w14:paraId="4E0714F4">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eastAsia="宋体" w:asciiTheme="minorEastAsia" w:hAnsiTheme="minorEastAsia" w:cstheme="minorEastAsia"/>
                <w:color w:val="auto"/>
                <w:kern w:val="2"/>
                <w:sz w:val="21"/>
                <w:szCs w:val="21"/>
                <w:highlight w:val="none"/>
                <w:u w:val="none"/>
                <w:lang w:val="en-US" w:eastAsia="zh-CN" w:bidi="ar-SA"/>
              </w:rPr>
            </w:pPr>
            <w:r>
              <w:rPr>
                <w:rFonts w:hint="eastAsia" w:ascii="宋体" w:hAnsi="宋体" w:eastAsia="宋体" w:cs="Times New Roman"/>
                <w:sz w:val="21"/>
                <w:szCs w:val="22"/>
                <w:u w:val="none"/>
                <w:lang w:bidi="ar"/>
              </w:rPr>
              <w:t>《保亭黎族苗族自治县“十四五”生态环境保护规划》</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bidi="ar"/>
              </w:rPr>
              <w:t>保环字〔2022〕45号</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第三章第三节</w:t>
            </w:r>
          </w:p>
        </w:tc>
      </w:tr>
      <w:tr w14:paraId="19C7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269153F1">
            <w:pPr>
              <w:widowControl/>
              <w:spacing w:line="240" w:lineRule="auto"/>
              <w:ind w:firstLine="0" w:firstLineChars="0"/>
              <w:jc w:val="center"/>
              <w:textAlignment w:val="center"/>
              <w:rPr>
                <w:rFonts w:ascii="宋体" w:hAnsi="宋体" w:eastAsia="宋体" w:cs="Times New Roman"/>
                <w:sz w:val="21"/>
                <w:szCs w:val="21"/>
                <w:u w:val="none"/>
              </w:rPr>
            </w:pPr>
          </w:p>
        </w:tc>
        <w:tc>
          <w:tcPr>
            <w:tcW w:w="385" w:type="pct"/>
            <w:vMerge w:val="continue"/>
            <w:tcBorders>
              <w:tl2br w:val="nil"/>
              <w:tr2bl w:val="nil"/>
            </w:tcBorders>
            <w:vAlign w:val="center"/>
          </w:tcPr>
          <w:p w14:paraId="4BA81961">
            <w:pPr>
              <w:widowControl/>
              <w:spacing w:line="240" w:lineRule="auto"/>
              <w:ind w:firstLine="0" w:firstLineChars="0"/>
              <w:jc w:val="center"/>
              <w:textAlignment w:val="center"/>
              <w:rPr>
                <w:rFonts w:hint="eastAsia" w:asciiTheme="minorEastAsia" w:hAnsiTheme="minorEastAsia" w:eastAsiaTheme="minorEastAsia" w:cstheme="minorEastAsia"/>
                <w:color w:val="auto"/>
                <w:sz w:val="21"/>
                <w:szCs w:val="21"/>
                <w:highlight w:val="none"/>
                <w:u w:val="none"/>
              </w:rPr>
            </w:pPr>
          </w:p>
        </w:tc>
        <w:tc>
          <w:tcPr>
            <w:tcW w:w="157" w:type="pct"/>
            <w:tcBorders>
              <w:tl2br w:val="nil"/>
              <w:tr2bl w:val="nil"/>
            </w:tcBorders>
            <w:shd w:val="clear" w:color="auto" w:fill="auto"/>
            <w:vAlign w:val="center"/>
          </w:tcPr>
          <w:p w14:paraId="2C4B3EDA">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val="en-US" w:eastAsia="zh-CN"/>
              </w:rPr>
              <w:t>4</w:t>
            </w:r>
          </w:p>
        </w:tc>
        <w:tc>
          <w:tcPr>
            <w:tcW w:w="2822" w:type="pct"/>
            <w:tcBorders>
              <w:tl2br w:val="nil"/>
              <w:tr2bl w:val="nil"/>
            </w:tcBorders>
            <w:shd w:val="clear" w:color="auto" w:fill="auto"/>
            <w:vAlign w:val="center"/>
          </w:tcPr>
          <w:p w14:paraId="465EDD70">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eastAsia="zh-CN"/>
              </w:rPr>
              <w:t>全面禁止土法熏烤槟榔【</w:t>
            </w:r>
            <w:r>
              <w:rPr>
                <w:rFonts w:hint="eastAsia" w:asciiTheme="minorEastAsia" w:hAnsiTheme="minorEastAsia" w:eastAsiaTheme="minorEastAsia" w:cstheme="minorEastAsia"/>
                <w:color w:val="auto"/>
                <w:sz w:val="21"/>
                <w:szCs w:val="21"/>
                <w:highlight w:val="none"/>
                <w:u w:val="none"/>
                <w:lang w:val="en-US" w:eastAsia="zh-CN"/>
              </w:rPr>
              <w:t>1</w:t>
            </w:r>
            <w:r>
              <w:rPr>
                <w:rFonts w:hint="eastAsia" w:asciiTheme="minorEastAsia" w:hAnsiTheme="minorEastAsia" w:eastAsiaTheme="minorEastAsia" w:cstheme="minorEastAsia"/>
                <w:color w:val="auto"/>
                <w:sz w:val="21"/>
                <w:szCs w:val="21"/>
                <w:highlight w:val="none"/>
                <w:u w:val="none"/>
                <w:lang w:eastAsia="zh-CN"/>
              </w:rPr>
              <w:t>】；禁止胡椒传统泡水脱皮技术【</w:t>
            </w: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none"/>
                <w:lang w:eastAsia="zh-CN"/>
              </w:rPr>
              <w:t>】。</w:t>
            </w:r>
          </w:p>
        </w:tc>
        <w:tc>
          <w:tcPr>
            <w:tcW w:w="1391" w:type="pct"/>
            <w:tcBorders>
              <w:tl2br w:val="nil"/>
              <w:tr2bl w:val="nil"/>
            </w:tcBorders>
            <w:shd w:val="clear" w:color="auto" w:fill="auto"/>
            <w:vAlign w:val="center"/>
          </w:tcPr>
          <w:p w14:paraId="2D107314">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sz w:val="21"/>
                <w:szCs w:val="21"/>
                <w:highlight w:val="none"/>
                <w:u w:val="none"/>
                <w:lang w:eastAsia="zh-CN"/>
              </w:rPr>
            </w:pPr>
            <w:r>
              <w:rPr>
                <w:rFonts w:hint="eastAsia" w:asciiTheme="minorEastAsia" w:hAnsiTheme="minorEastAsia" w:eastAsiaTheme="minorEastAsia" w:cstheme="minorEastAsia"/>
                <w:color w:val="auto"/>
                <w:sz w:val="21"/>
                <w:szCs w:val="21"/>
                <w:highlight w:val="none"/>
                <w:u w:val="none"/>
              </w:rPr>
              <w:t>《国家生态文明试验区（海南）实施方案》</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1</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二（三）1</w:t>
            </w:r>
          </w:p>
          <w:p w14:paraId="1E29DC07">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eastAsia="zh-CN"/>
              </w:rPr>
              <w:t>《海南省产业准入禁止限制目录（20</w:t>
            </w:r>
            <w:r>
              <w:rPr>
                <w:rFonts w:hint="eastAsia" w:asciiTheme="minorEastAsia" w:hAnsiTheme="minorEastAsia" w:eastAsiaTheme="minorEastAsia" w:cstheme="minorEastAsia"/>
                <w:color w:val="auto"/>
                <w:sz w:val="21"/>
                <w:szCs w:val="21"/>
                <w:highlight w:val="none"/>
                <w:u w:val="none"/>
                <w:lang w:val="en-US" w:eastAsia="zh-CN"/>
              </w:rPr>
              <w:t>25</w:t>
            </w:r>
            <w:r>
              <w:rPr>
                <w:rFonts w:hint="eastAsia" w:asciiTheme="minorEastAsia" w:hAnsiTheme="minorEastAsia" w:eastAsiaTheme="minorEastAsia" w:cstheme="minorEastAsia"/>
                <w:color w:val="auto"/>
                <w:sz w:val="21"/>
                <w:szCs w:val="21"/>
                <w:highlight w:val="none"/>
                <w:u w:val="none"/>
                <w:lang w:eastAsia="zh-CN"/>
              </w:rPr>
              <w:t>年版）》【</w:t>
            </w: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none"/>
                <w:lang w:eastAsia="zh-CN"/>
              </w:rPr>
              <w:t>】</w:t>
            </w:r>
          </w:p>
        </w:tc>
      </w:tr>
      <w:tr w14:paraId="5950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77E49507">
            <w:pPr>
              <w:widowControl/>
              <w:spacing w:line="240" w:lineRule="auto"/>
              <w:ind w:firstLine="0" w:firstLineChars="0"/>
              <w:jc w:val="center"/>
              <w:textAlignment w:val="center"/>
              <w:rPr>
                <w:rFonts w:ascii="宋体" w:hAnsi="宋体" w:eastAsia="宋体" w:cs="Times New Roman"/>
                <w:sz w:val="21"/>
                <w:szCs w:val="21"/>
                <w:u w:val="none"/>
              </w:rPr>
            </w:pPr>
          </w:p>
        </w:tc>
        <w:tc>
          <w:tcPr>
            <w:tcW w:w="385" w:type="pct"/>
            <w:vMerge w:val="continue"/>
            <w:tcBorders>
              <w:tl2br w:val="nil"/>
              <w:tr2bl w:val="nil"/>
            </w:tcBorders>
            <w:vAlign w:val="center"/>
          </w:tcPr>
          <w:p w14:paraId="30C0C413">
            <w:pPr>
              <w:widowControl/>
              <w:spacing w:line="240" w:lineRule="auto"/>
              <w:ind w:firstLine="0" w:firstLineChars="0"/>
              <w:jc w:val="center"/>
              <w:textAlignment w:val="center"/>
              <w:rPr>
                <w:rFonts w:hint="eastAsia" w:asciiTheme="minorEastAsia" w:hAnsiTheme="minorEastAsia" w:eastAsiaTheme="minorEastAsia" w:cstheme="minorEastAsia"/>
                <w:color w:val="auto"/>
                <w:sz w:val="21"/>
                <w:szCs w:val="21"/>
                <w:highlight w:val="none"/>
                <w:u w:val="none"/>
              </w:rPr>
            </w:pPr>
          </w:p>
        </w:tc>
        <w:tc>
          <w:tcPr>
            <w:tcW w:w="157" w:type="pct"/>
            <w:tcBorders>
              <w:tl2br w:val="nil"/>
              <w:tr2bl w:val="nil"/>
            </w:tcBorders>
            <w:shd w:val="clear" w:color="auto" w:fill="auto"/>
            <w:vAlign w:val="center"/>
          </w:tcPr>
          <w:p w14:paraId="5E6134B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lang w:val="en-US" w:eastAsia="zh-CN"/>
              </w:rPr>
              <w:t>5</w:t>
            </w:r>
          </w:p>
        </w:tc>
        <w:tc>
          <w:tcPr>
            <w:tcW w:w="2822" w:type="pct"/>
            <w:tcBorders>
              <w:tl2br w:val="nil"/>
              <w:tr2bl w:val="nil"/>
            </w:tcBorders>
            <w:shd w:val="clear" w:color="auto" w:fill="auto"/>
            <w:vAlign w:val="center"/>
          </w:tcPr>
          <w:p w14:paraId="06483577">
            <w:pPr>
              <w:keepNext w:val="0"/>
              <w:keepLines w:val="0"/>
              <w:pageBreakBefore w:val="0"/>
              <w:widowControl/>
              <w:kinsoku/>
              <w:wordWrap/>
              <w:overflowPunct/>
              <w:topLinePunct w:val="0"/>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rPr>
              <w:t>禁止生产、运输、销售、储存、使用由省人民政府生态环境主管部门向社会公布</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none"/>
              </w:rPr>
              <w:t>一次性不可降解塑料制品。</w:t>
            </w:r>
          </w:p>
        </w:tc>
        <w:tc>
          <w:tcPr>
            <w:tcW w:w="1391" w:type="pct"/>
            <w:tcBorders>
              <w:tl2br w:val="nil"/>
              <w:tr2bl w:val="nil"/>
            </w:tcBorders>
            <w:shd w:val="clear" w:color="auto" w:fill="auto"/>
            <w:vAlign w:val="center"/>
          </w:tcPr>
          <w:p w14:paraId="711854B1">
            <w:pPr>
              <w:keepNext w:val="0"/>
              <w:keepLines w:val="0"/>
              <w:pageBreakBefore w:val="0"/>
              <w:widowControl/>
              <w:kinsoku/>
              <w:wordWrap/>
              <w:overflowPunct/>
              <w:topLinePunct w:val="0"/>
              <w:bidi w:val="0"/>
              <w:adjustRightInd/>
              <w:snapToGrid/>
              <w:spacing w:line="240" w:lineRule="auto"/>
              <w:ind w:left="0" w:leftChars="0" w:firstLine="0" w:firstLineChars="0"/>
              <w:jc w:val="left"/>
              <w:textAlignment w:val="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u w:val="none"/>
              </w:rPr>
              <w:t>《海南经济特区禁止一次性不可降解塑料制品规定》第二条</w:t>
            </w:r>
          </w:p>
        </w:tc>
      </w:tr>
      <w:tr w14:paraId="08C0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3A1A8585">
            <w:pPr>
              <w:spacing w:line="240" w:lineRule="auto"/>
              <w:ind w:firstLine="0" w:firstLineChars="0"/>
              <w:jc w:val="center"/>
              <w:rPr>
                <w:rFonts w:hint="eastAsia" w:ascii="宋体" w:hAnsi="宋体" w:eastAsia="宋体" w:cs="Times New Roman"/>
                <w:sz w:val="21"/>
                <w:szCs w:val="21"/>
                <w:u w:val="none"/>
              </w:rPr>
            </w:pPr>
          </w:p>
        </w:tc>
        <w:tc>
          <w:tcPr>
            <w:tcW w:w="385" w:type="pct"/>
            <w:tcBorders>
              <w:tl2br w:val="nil"/>
              <w:tr2bl w:val="nil"/>
            </w:tcBorders>
            <w:vAlign w:val="center"/>
          </w:tcPr>
          <w:p w14:paraId="0C205233">
            <w:pPr>
              <w:widowControl/>
              <w:spacing w:line="240" w:lineRule="auto"/>
              <w:ind w:firstLine="0" w:firstLineChars="0"/>
              <w:jc w:val="center"/>
              <w:textAlignment w:val="center"/>
              <w:rPr>
                <w:rFonts w:hint="eastAsia" w:ascii="宋体" w:hAnsi="宋体" w:eastAsia="宋体" w:cs="Times New Roman"/>
                <w:sz w:val="21"/>
                <w:szCs w:val="21"/>
                <w:u w:val="none"/>
              </w:rPr>
            </w:pPr>
            <w:r>
              <w:rPr>
                <w:rFonts w:hint="eastAsia" w:asciiTheme="minorEastAsia" w:hAnsiTheme="minorEastAsia" w:eastAsiaTheme="minorEastAsia" w:cstheme="minorEastAsia"/>
                <w:color w:val="auto"/>
                <w:sz w:val="21"/>
                <w:szCs w:val="21"/>
                <w:highlight w:val="none"/>
                <w:u w:val="none"/>
              </w:rPr>
              <w:t>限制开发建设活动的要求</w:t>
            </w:r>
          </w:p>
        </w:tc>
        <w:tc>
          <w:tcPr>
            <w:tcW w:w="157" w:type="pct"/>
            <w:tcBorders>
              <w:tl2br w:val="nil"/>
              <w:tr2bl w:val="nil"/>
            </w:tcBorders>
            <w:vAlign w:val="center"/>
          </w:tcPr>
          <w:p w14:paraId="6AA6FF42">
            <w:pPr>
              <w:widowControl/>
              <w:numPr>
                <w:ilvl w:val="0"/>
                <w:numId w:val="0"/>
              </w:numPr>
              <w:spacing w:line="240" w:lineRule="auto"/>
              <w:ind w:left="0" w:leftChars="0" w:firstLine="0" w:firstLineChars="0"/>
              <w:jc w:val="center"/>
              <w:textAlignment w:val="center"/>
              <w:rPr>
                <w:rFonts w:hint="eastAsia" w:ascii="宋体" w:hAnsi="宋体" w:eastAsia="宋体" w:cs="Times New Roman"/>
                <w:sz w:val="21"/>
                <w:szCs w:val="21"/>
                <w:u w:val="none"/>
              </w:rPr>
            </w:pPr>
            <w:r>
              <w:rPr>
                <w:rFonts w:hint="eastAsia" w:ascii="宋体" w:hAnsi="宋体" w:eastAsia="宋体" w:cs="Times New Roman"/>
                <w:kern w:val="2"/>
                <w:sz w:val="21"/>
                <w:szCs w:val="21"/>
                <w:lang w:val="en-US" w:eastAsia="zh-CN" w:bidi="ar-SA"/>
              </w:rPr>
              <w:t>6</w:t>
            </w:r>
          </w:p>
        </w:tc>
        <w:tc>
          <w:tcPr>
            <w:tcW w:w="2822" w:type="pct"/>
            <w:tcBorders>
              <w:tl2br w:val="nil"/>
              <w:tr2bl w:val="nil"/>
            </w:tcBorders>
            <w:shd w:val="clear" w:color="auto" w:fill="auto"/>
            <w:vAlign w:val="center"/>
          </w:tcPr>
          <w:p w14:paraId="3ED5D749">
            <w:pPr>
              <w:widowControl/>
              <w:spacing w:line="240" w:lineRule="auto"/>
              <w:ind w:firstLine="0" w:firstLineChars="0"/>
              <w:textAlignment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禁止在国家重点生态功能区开发建设外销房地产项目，新建项目仅限布局在城镇开发边界内且符合国家重点生态功能区发展定位、功能定位、产业规划和国土空间规划以及满足《海南省生态环境分区管控方案》等相关管控要求。</w:t>
            </w:r>
          </w:p>
          <w:p w14:paraId="42305B30">
            <w:pPr>
              <w:widowControl/>
              <w:spacing w:line="240" w:lineRule="auto"/>
              <w:ind w:firstLine="0" w:firstLineChars="0"/>
              <w:textAlignment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2.131谷物磨制、132饲料加工、133植物油加工、135 屠宰及肉类加工、137 蔬菜、菌类、水果和坚果加工、139 其他农副食品加工：允许适当开展符合国家重点生态功能区发展定位、功能定位、产业规划和国土空间规划的相关项目，但应控制规模，同时满足《海南省生态环境分区管控方案》等相关管控要求（其中，135 屠宰及肉类加工仅限建设项目环境影响评价分类管理名录中的报告表和登记表项目）。</w:t>
            </w:r>
          </w:p>
          <w:p w14:paraId="4BEABE95">
            <w:pPr>
              <w:widowControl/>
              <w:spacing w:line="240" w:lineRule="auto"/>
              <w:ind w:firstLine="0" w:firstLineChars="0"/>
              <w:textAlignment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食品制造业、酒、饮料和精制茶制造业、木材加工和木、竹、藤、棕、草制品业、家具制造业、印刷和记录媒介复制业、医药制造业中2730中药饮片加工、2740中成药生产、非金属矿物制品业中302石膏、水泥制品及类似制品制造、金属制品业中331结构性金属制品制造、其他制造业中411日用杂品制造、废弃资源综合利用业中422非金属废料和碎屑加工处理、43金属制品、机械和设备修理业：允许适当开展符合国家重点生态功能区发展定位、功能定位、产业规划和国土空间规划的相关项目，但应控制规模，同时满足《海南省生态环境分区管控方案》等相关管控要求。</w:t>
            </w:r>
          </w:p>
          <w:p w14:paraId="3C5BB49D">
            <w:pPr>
              <w:widowControl/>
              <w:spacing w:line="240" w:lineRule="auto"/>
              <w:ind w:firstLine="0" w:firstLineChars="0"/>
              <w:textAlignment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4.农林牧渔业：（0412）内陆养殖：在限制养殖区开展养殖应控制规模，禁止在禁止养殖区开展养殖。新建和扩建（0514）以天然胶乳为原料的天然橡胶初加工项目（不含科技研发试验类和特种浓缩胶乳、特种固体生胶生产项目）的年产能应在1.5 万吨及以上。</w:t>
            </w:r>
          </w:p>
        </w:tc>
        <w:tc>
          <w:tcPr>
            <w:tcW w:w="1391" w:type="pct"/>
            <w:tcBorders>
              <w:tl2br w:val="nil"/>
              <w:tr2bl w:val="nil"/>
            </w:tcBorders>
            <w:shd w:val="clear" w:color="auto" w:fill="auto"/>
            <w:vAlign w:val="center"/>
          </w:tcPr>
          <w:p w14:paraId="3817CC70">
            <w:pPr>
              <w:widowControl/>
              <w:spacing w:line="240" w:lineRule="auto"/>
              <w:ind w:firstLine="0" w:firstLineChars="0"/>
              <w:textAlignment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《海南省产业准入禁止限制目录（2025年版）》（琼发改产业〔2025〕203号）</w:t>
            </w:r>
          </w:p>
        </w:tc>
      </w:tr>
      <w:tr w14:paraId="444F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tcBorders>
              <w:tl2br w:val="nil"/>
              <w:tr2bl w:val="nil"/>
            </w:tcBorders>
            <w:vAlign w:val="center"/>
          </w:tcPr>
          <w:p w14:paraId="3789FE79">
            <w:pPr>
              <w:widowControl/>
              <w:spacing w:line="240" w:lineRule="auto"/>
              <w:ind w:firstLine="0" w:firstLineChars="0"/>
              <w:jc w:val="center"/>
              <w:textAlignment w:val="center"/>
              <w:rPr>
                <w:rFonts w:hint="eastAsia" w:ascii="宋体" w:hAnsi="宋体" w:eastAsia="宋体" w:cs="Times New Roman"/>
                <w:sz w:val="21"/>
                <w:szCs w:val="21"/>
                <w:u w:val="none"/>
              </w:rPr>
            </w:pPr>
            <w:r>
              <w:rPr>
                <w:rFonts w:ascii="宋体" w:hAnsi="宋体" w:eastAsia="宋体" w:cs="Times New Roman"/>
                <w:sz w:val="21"/>
                <w:szCs w:val="21"/>
                <w:u w:val="none"/>
                <w:lang w:bidi="ar"/>
              </w:rPr>
              <w:t>污染物排放管控</w:t>
            </w:r>
          </w:p>
        </w:tc>
        <w:tc>
          <w:tcPr>
            <w:tcW w:w="385" w:type="pct"/>
            <w:tcBorders>
              <w:tl2br w:val="nil"/>
              <w:tr2bl w:val="nil"/>
            </w:tcBorders>
            <w:vAlign w:val="center"/>
          </w:tcPr>
          <w:p w14:paraId="1D276019">
            <w:pPr>
              <w:widowControl/>
              <w:spacing w:line="240" w:lineRule="auto"/>
              <w:ind w:firstLine="0" w:firstLineChars="0"/>
              <w:jc w:val="center"/>
              <w:textAlignment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允许排放量要求</w:t>
            </w:r>
          </w:p>
        </w:tc>
        <w:tc>
          <w:tcPr>
            <w:tcW w:w="157" w:type="pct"/>
            <w:tcBorders>
              <w:tl2br w:val="nil"/>
              <w:tr2bl w:val="nil"/>
            </w:tcBorders>
            <w:vAlign w:val="center"/>
          </w:tcPr>
          <w:p w14:paraId="3EF964C2">
            <w:pPr>
              <w:widowControl/>
              <w:numPr>
                <w:ilvl w:val="0"/>
                <w:numId w:val="0"/>
              </w:numPr>
              <w:spacing w:line="240" w:lineRule="auto"/>
              <w:ind w:left="0" w:leftChars="0" w:firstLine="0" w:firstLineChars="0"/>
              <w:jc w:val="center"/>
              <w:textAlignment w:val="center"/>
              <w:rPr>
                <w:rFonts w:hint="eastAsia" w:ascii="宋体" w:hAnsi="宋体" w:eastAsia="宋体" w:cs="Times New Roman"/>
                <w:sz w:val="21"/>
                <w:szCs w:val="21"/>
                <w:u w:val="none"/>
              </w:rPr>
            </w:pPr>
            <w:r>
              <w:rPr>
                <w:rFonts w:hint="eastAsia" w:ascii="宋体" w:hAnsi="宋体" w:eastAsia="宋体" w:cs="Times New Roman"/>
                <w:kern w:val="2"/>
                <w:sz w:val="21"/>
                <w:szCs w:val="21"/>
                <w:lang w:val="en-US" w:eastAsia="zh-CN" w:bidi="ar-SA"/>
              </w:rPr>
              <w:t>7</w:t>
            </w:r>
          </w:p>
        </w:tc>
        <w:tc>
          <w:tcPr>
            <w:tcW w:w="2822" w:type="pct"/>
            <w:tcBorders>
              <w:tl2br w:val="nil"/>
              <w:tr2bl w:val="nil"/>
            </w:tcBorders>
            <w:shd w:val="clear" w:color="auto" w:fill="auto"/>
            <w:vAlign w:val="center"/>
          </w:tcPr>
          <w:p w14:paraId="70782A05">
            <w:pPr>
              <w:spacing w:line="240" w:lineRule="auto"/>
              <w:ind w:firstLine="0" w:firstLineChars="0"/>
              <w:rPr>
                <w:rFonts w:hint="eastAsia" w:ascii="宋体" w:hAnsi="宋体" w:eastAsia="宋体" w:cs="Times New Roman"/>
                <w:sz w:val="21"/>
                <w:szCs w:val="21"/>
                <w:u w:val="none"/>
                <w:lang w:bidi="ar"/>
              </w:rPr>
            </w:pPr>
            <w:r>
              <w:rPr>
                <w:rFonts w:hint="eastAsia" w:ascii="宋体" w:hAnsi="宋体" w:eastAsia="宋体" w:cs="Times New Roman"/>
                <w:sz w:val="21"/>
                <w:szCs w:val="21"/>
                <w:u w:val="none"/>
                <w:lang w:val="en-US" w:eastAsia="zh-CN" w:bidi="ar"/>
              </w:rPr>
              <w:t>1.</w:t>
            </w:r>
            <w:r>
              <w:rPr>
                <w:rFonts w:hint="eastAsia" w:ascii="宋体" w:hAnsi="宋体" w:eastAsia="宋体" w:cs="Times New Roman"/>
                <w:sz w:val="21"/>
                <w:szCs w:val="21"/>
                <w:u w:val="none"/>
                <w:lang w:bidi="ar"/>
              </w:rPr>
              <w:t>对超过重点水污染物排放总量控制指标或者未完成水环境质量改善目标的地区，暂停审批新增重点水污染物排放总量的建设项目的环境影响评价文件</w:t>
            </w:r>
            <w:r>
              <w:rPr>
                <w:rFonts w:hint="eastAsia" w:ascii="宋体" w:hAnsi="宋体" w:eastAsia="宋体" w:cs="Times New Roman"/>
                <w:sz w:val="21"/>
                <w:szCs w:val="21"/>
                <w:u w:val="none"/>
                <w:lang w:eastAsia="zh-CN" w:bidi="ar"/>
              </w:rPr>
              <w:t>【</w:t>
            </w:r>
            <w:r>
              <w:rPr>
                <w:rFonts w:hint="eastAsia" w:ascii="宋体" w:hAnsi="宋体" w:eastAsia="宋体" w:cs="Times New Roman"/>
                <w:sz w:val="21"/>
                <w:szCs w:val="21"/>
                <w:u w:val="none"/>
                <w:lang w:val="en-US" w:eastAsia="zh-CN" w:bidi="ar"/>
              </w:rPr>
              <w:t>1</w:t>
            </w:r>
            <w:r>
              <w:rPr>
                <w:rFonts w:hint="eastAsia" w:ascii="宋体" w:hAnsi="宋体" w:eastAsia="宋体" w:cs="Times New Roman"/>
                <w:sz w:val="21"/>
                <w:szCs w:val="21"/>
                <w:u w:val="none"/>
                <w:lang w:eastAsia="zh-CN" w:bidi="ar"/>
              </w:rPr>
              <w:t>】</w:t>
            </w:r>
            <w:r>
              <w:rPr>
                <w:rFonts w:hint="eastAsia" w:ascii="宋体" w:hAnsi="宋体" w:eastAsia="宋体" w:cs="Times New Roman"/>
                <w:sz w:val="21"/>
                <w:szCs w:val="21"/>
                <w:u w:val="none"/>
                <w:lang w:bidi="ar"/>
              </w:rPr>
              <w:t>。</w:t>
            </w:r>
          </w:p>
          <w:p w14:paraId="44FC9D1F">
            <w:pPr>
              <w:spacing w:line="240" w:lineRule="auto"/>
              <w:ind w:firstLine="0" w:firstLineChars="0"/>
              <w:rPr>
                <w:rFonts w:hint="eastAsia" w:ascii="宋体" w:hAnsi="宋体" w:eastAsia="宋体" w:cs="Times New Roman"/>
                <w:sz w:val="21"/>
                <w:szCs w:val="21"/>
                <w:u w:val="none"/>
                <w:lang w:bidi="ar"/>
              </w:rPr>
            </w:pPr>
            <w:r>
              <w:rPr>
                <w:rFonts w:hint="eastAsia" w:ascii="宋体" w:hAnsi="宋体" w:eastAsia="宋体" w:cs="Times New Roman"/>
                <w:sz w:val="21"/>
                <w:szCs w:val="21"/>
                <w:u w:val="none"/>
                <w:lang w:val="en-US" w:eastAsia="zh-CN" w:bidi="ar"/>
              </w:rPr>
              <w:t>2.</w:t>
            </w:r>
            <w:r>
              <w:rPr>
                <w:rFonts w:hint="eastAsia" w:ascii="宋体" w:hAnsi="宋体" w:eastAsia="宋体" w:cs="Times New Roman"/>
                <w:sz w:val="21"/>
                <w:szCs w:val="21"/>
                <w:u w:val="none"/>
                <w:lang w:bidi="ar"/>
              </w:rPr>
              <w:t>排污单位应当严格执行排污许可证的规定，确保按证排污</w:t>
            </w:r>
            <w:r>
              <w:rPr>
                <w:rFonts w:hint="eastAsia" w:ascii="宋体" w:hAnsi="宋体" w:eastAsia="宋体" w:cs="Times New Roman"/>
                <w:sz w:val="21"/>
                <w:szCs w:val="21"/>
                <w:u w:val="none"/>
                <w:lang w:eastAsia="zh-CN" w:bidi="ar"/>
              </w:rPr>
              <w:t>【</w:t>
            </w:r>
            <w:r>
              <w:rPr>
                <w:rFonts w:hint="eastAsia" w:ascii="宋体" w:hAnsi="宋体" w:eastAsia="宋体" w:cs="Times New Roman"/>
                <w:sz w:val="21"/>
                <w:szCs w:val="21"/>
                <w:u w:val="none"/>
                <w:lang w:val="en-US" w:eastAsia="zh-CN" w:bidi="ar"/>
              </w:rPr>
              <w:t>2</w:t>
            </w:r>
            <w:r>
              <w:rPr>
                <w:rFonts w:hint="eastAsia" w:ascii="宋体" w:hAnsi="宋体" w:eastAsia="宋体" w:cs="Times New Roman"/>
                <w:sz w:val="21"/>
                <w:szCs w:val="21"/>
                <w:u w:val="none"/>
                <w:lang w:eastAsia="zh-CN" w:bidi="ar"/>
              </w:rPr>
              <w:t>】</w:t>
            </w:r>
            <w:r>
              <w:rPr>
                <w:rFonts w:hint="eastAsia" w:ascii="宋体" w:hAnsi="宋体" w:eastAsia="宋体" w:cs="Times New Roman"/>
                <w:sz w:val="21"/>
                <w:szCs w:val="21"/>
                <w:u w:val="none"/>
                <w:lang w:bidi="ar"/>
              </w:rPr>
              <w:t>。</w:t>
            </w:r>
          </w:p>
        </w:tc>
        <w:tc>
          <w:tcPr>
            <w:tcW w:w="1391" w:type="pct"/>
            <w:tcBorders>
              <w:tl2br w:val="nil"/>
              <w:tr2bl w:val="nil"/>
            </w:tcBorders>
            <w:shd w:val="clear" w:color="auto" w:fill="auto"/>
            <w:vAlign w:val="center"/>
          </w:tcPr>
          <w:p w14:paraId="1E37AE29">
            <w:pPr>
              <w:widowControl/>
              <w:spacing w:line="240" w:lineRule="auto"/>
              <w:ind w:firstLine="0" w:firstLineChars="0"/>
              <w:textAlignment w:val="center"/>
              <w:rPr>
                <w:rFonts w:hint="default" w:ascii="宋体" w:hAnsi="宋体" w:eastAsia="宋体" w:cs="Times New Roman"/>
                <w:sz w:val="21"/>
                <w:szCs w:val="21"/>
                <w:u w:val="none"/>
                <w:lang w:val="en-US" w:eastAsia="zh-CN"/>
              </w:rPr>
            </w:pPr>
            <w:r>
              <w:rPr>
                <w:rFonts w:hint="eastAsia" w:ascii="宋体" w:hAnsi="宋体" w:eastAsia="宋体" w:cs="Times New Roman"/>
                <w:kern w:val="0"/>
                <w:sz w:val="21"/>
                <w:szCs w:val="21"/>
                <w:u w:val="none"/>
              </w:rPr>
              <w:t>《海南省水污染防治条例》</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lang w:val="en-US" w:eastAsia="zh-CN"/>
              </w:rPr>
              <w:t>1</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lang w:val="en-US" w:eastAsia="zh-CN"/>
              </w:rPr>
              <w:t>第二十条、【2】第四十八条</w:t>
            </w:r>
          </w:p>
        </w:tc>
      </w:tr>
      <w:tr w14:paraId="5A2D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tcBorders>
              <w:tl2br w:val="nil"/>
              <w:tr2bl w:val="nil"/>
            </w:tcBorders>
            <w:vAlign w:val="center"/>
          </w:tcPr>
          <w:p w14:paraId="56635F5C">
            <w:pPr>
              <w:spacing w:line="240" w:lineRule="auto"/>
              <w:ind w:firstLine="0" w:firstLineChars="0"/>
              <w:jc w:val="center"/>
              <w:rPr>
                <w:rFonts w:hint="eastAsia" w:ascii="宋体" w:hAnsi="宋体" w:eastAsia="宋体" w:cs="Times New Roman"/>
                <w:sz w:val="21"/>
                <w:szCs w:val="21"/>
                <w:u w:val="none"/>
              </w:rPr>
            </w:pPr>
            <w:r>
              <w:rPr>
                <w:rFonts w:ascii="宋体" w:hAnsi="宋体" w:eastAsia="宋体" w:cs="Times New Roman"/>
                <w:sz w:val="21"/>
                <w:szCs w:val="21"/>
                <w:u w:val="none"/>
              </w:rPr>
              <w:t>环境风险防控</w:t>
            </w:r>
          </w:p>
        </w:tc>
        <w:tc>
          <w:tcPr>
            <w:tcW w:w="385" w:type="pct"/>
            <w:tcBorders>
              <w:tl2br w:val="nil"/>
              <w:tr2bl w:val="nil"/>
            </w:tcBorders>
            <w:vAlign w:val="center"/>
          </w:tcPr>
          <w:p w14:paraId="401F5B3A">
            <w:pPr>
              <w:spacing w:line="240" w:lineRule="auto"/>
              <w:ind w:firstLine="0" w:firstLineChars="0"/>
              <w:jc w:val="center"/>
              <w:rPr>
                <w:rFonts w:hint="eastAsia" w:ascii="宋体" w:hAnsi="宋体" w:eastAsia="宋体" w:cs="Times New Roman"/>
                <w:bCs/>
                <w:sz w:val="21"/>
                <w:szCs w:val="21"/>
                <w:u w:val="none"/>
              </w:rPr>
            </w:pPr>
            <w:r>
              <w:rPr>
                <w:rFonts w:hint="eastAsia" w:asciiTheme="minorEastAsia" w:hAnsiTheme="minorEastAsia" w:eastAsiaTheme="minorEastAsia" w:cstheme="minorEastAsia"/>
                <w:color w:val="auto"/>
                <w:sz w:val="21"/>
                <w:szCs w:val="21"/>
                <w:highlight w:val="none"/>
                <w:u w:val="none"/>
              </w:rPr>
              <w:t>固体废物污染风险防控</w:t>
            </w:r>
          </w:p>
        </w:tc>
        <w:tc>
          <w:tcPr>
            <w:tcW w:w="157" w:type="pct"/>
            <w:tcBorders>
              <w:tl2br w:val="nil"/>
              <w:tr2bl w:val="nil"/>
            </w:tcBorders>
            <w:vAlign w:val="center"/>
          </w:tcPr>
          <w:p w14:paraId="428C62D4">
            <w:pPr>
              <w:widowControl/>
              <w:numPr>
                <w:ilvl w:val="0"/>
                <w:numId w:val="0"/>
              </w:numPr>
              <w:spacing w:line="240" w:lineRule="auto"/>
              <w:ind w:left="0" w:leftChars="0" w:firstLine="0" w:firstLineChars="0"/>
              <w:jc w:val="center"/>
              <w:textAlignment w:val="center"/>
              <w:rPr>
                <w:rFonts w:hint="eastAsia" w:ascii="宋体" w:hAnsi="宋体" w:eastAsia="宋体" w:cs="Times New Roman"/>
                <w:kern w:val="0"/>
                <w:sz w:val="21"/>
                <w:szCs w:val="21"/>
                <w:u w:val="none"/>
                <w:lang w:bidi="ar"/>
              </w:rPr>
            </w:pPr>
            <w:r>
              <w:rPr>
                <w:rFonts w:hint="eastAsia" w:ascii="宋体" w:hAnsi="宋体" w:eastAsia="宋体" w:cs="Times New Roman"/>
                <w:kern w:val="0"/>
                <w:sz w:val="21"/>
                <w:szCs w:val="21"/>
                <w:lang w:val="en-US" w:eastAsia="zh-CN" w:bidi="ar"/>
              </w:rPr>
              <w:t>8</w:t>
            </w:r>
          </w:p>
        </w:tc>
        <w:tc>
          <w:tcPr>
            <w:tcW w:w="2822" w:type="pct"/>
            <w:tcBorders>
              <w:tl2br w:val="nil"/>
              <w:tr2bl w:val="nil"/>
            </w:tcBorders>
            <w:shd w:val="clear" w:color="auto" w:fill="auto"/>
            <w:vAlign w:val="center"/>
          </w:tcPr>
          <w:p w14:paraId="3E6FBE8E">
            <w:pPr>
              <w:widowControl/>
              <w:spacing w:line="240" w:lineRule="auto"/>
              <w:ind w:firstLine="0" w:firstLineChars="0"/>
              <w:textAlignment w:val="center"/>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强化农业农村固体废物安全处置。健全农村分类投放、分类收集、分类运输、分类处理机制。建立健全农村保洁制度，合理配备农村保洁员队伍。规范设置农村生活垃圾堆放点，合理规划建设垃圾中转站，建立起设施完备、技术成熟、队伍稳定、监管有力、保障可靠的农村垃圾治理长效机制。继续推进生活垃圾减量化资源化无害化处理试点，加强农村生活垃圾分类处理资源化站点建设，探索垃圾分类处理市场化运作新模式。建立健全废旧农膜、废旧农药包装物回收利用体系，严格控制非标准农膜使用。加强秸秆废弃物收储运体系建设，推进秸秆综合利用规模化、产业化。大力推广秸秆粉碎还田、覆盖还田等技术，推动秸秆资源化利用项目建设，力争2025年秸秆回收利用率达到85%。</w:t>
            </w:r>
          </w:p>
        </w:tc>
        <w:tc>
          <w:tcPr>
            <w:tcW w:w="1391" w:type="pct"/>
            <w:tcBorders>
              <w:tl2br w:val="nil"/>
              <w:tr2bl w:val="nil"/>
            </w:tcBorders>
            <w:vAlign w:val="center"/>
          </w:tcPr>
          <w:p w14:paraId="42BBD991">
            <w:pPr>
              <w:spacing w:line="240" w:lineRule="auto"/>
              <w:ind w:firstLine="0" w:firstLineChars="0"/>
              <w:rPr>
                <w:rFonts w:hint="default" w:ascii="宋体" w:hAnsi="宋体" w:eastAsia="宋体" w:cs="Times New Roman"/>
                <w:sz w:val="21"/>
                <w:szCs w:val="22"/>
                <w:u w:val="none"/>
                <w:lang w:val="en-US" w:eastAsia="zh-CN" w:bidi="ar"/>
              </w:rPr>
            </w:pPr>
            <w:r>
              <w:rPr>
                <w:rFonts w:hint="eastAsia" w:ascii="宋体" w:hAnsi="宋体" w:eastAsia="宋体" w:cs="Times New Roman"/>
                <w:sz w:val="21"/>
                <w:szCs w:val="22"/>
                <w:u w:val="none"/>
                <w:lang w:bidi="ar"/>
              </w:rPr>
              <w:t>《保亭黎族苗族自治县“十四五”生态环境保护规划》</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bidi="ar"/>
              </w:rPr>
              <w:t>保环字〔2022〕45号</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第八章第一节</w:t>
            </w:r>
          </w:p>
        </w:tc>
      </w:tr>
      <w:tr w14:paraId="5477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701101A9">
            <w:pPr>
              <w:spacing w:line="240" w:lineRule="auto"/>
              <w:ind w:firstLine="0" w:firstLineChars="0"/>
              <w:jc w:val="center"/>
              <w:rPr>
                <w:rFonts w:hint="eastAsia" w:ascii="宋体" w:hAnsi="宋体" w:eastAsia="宋体" w:cs="Times New Roman"/>
                <w:sz w:val="21"/>
                <w:szCs w:val="21"/>
                <w:u w:val="none"/>
              </w:rPr>
            </w:pPr>
          </w:p>
        </w:tc>
        <w:tc>
          <w:tcPr>
            <w:tcW w:w="385" w:type="pct"/>
            <w:tcBorders>
              <w:tl2br w:val="nil"/>
              <w:tr2bl w:val="nil"/>
            </w:tcBorders>
            <w:vAlign w:val="center"/>
          </w:tcPr>
          <w:p w14:paraId="56D11860">
            <w:pPr>
              <w:spacing w:line="240" w:lineRule="auto"/>
              <w:ind w:firstLine="0" w:firstLineChars="0"/>
              <w:jc w:val="center"/>
              <w:rPr>
                <w:rFonts w:hint="eastAsia" w:ascii="宋体" w:hAnsi="宋体" w:eastAsia="宋体" w:cs="Times New Roman"/>
                <w:bCs/>
                <w:sz w:val="21"/>
                <w:szCs w:val="21"/>
                <w:u w:val="none"/>
              </w:rPr>
            </w:pPr>
            <w:r>
              <w:rPr>
                <w:rFonts w:hint="eastAsia" w:ascii="宋体" w:hAnsi="宋体" w:eastAsia="宋体" w:cs="Times New Roman"/>
                <w:bCs/>
                <w:sz w:val="21"/>
                <w:szCs w:val="21"/>
                <w:u w:val="none"/>
              </w:rPr>
              <w:t>土壤污染风险防控</w:t>
            </w:r>
          </w:p>
        </w:tc>
        <w:tc>
          <w:tcPr>
            <w:tcW w:w="157" w:type="pct"/>
            <w:tcBorders>
              <w:tl2br w:val="nil"/>
              <w:tr2bl w:val="nil"/>
            </w:tcBorders>
            <w:vAlign w:val="center"/>
          </w:tcPr>
          <w:p w14:paraId="5573C1E7">
            <w:pPr>
              <w:widowControl/>
              <w:numPr>
                <w:ilvl w:val="0"/>
                <w:numId w:val="0"/>
              </w:numPr>
              <w:spacing w:line="240" w:lineRule="auto"/>
              <w:ind w:left="0" w:leftChars="0" w:firstLine="0" w:firstLineChars="0"/>
              <w:jc w:val="center"/>
              <w:textAlignment w:val="center"/>
              <w:rPr>
                <w:rFonts w:hint="eastAsia" w:ascii="宋体" w:hAnsi="宋体" w:eastAsia="宋体" w:cs="Times New Roman"/>
                <w:kern w:val="0"/>
                <w:sz w:val="21"/>
                <w:szCs w:val="21"/>
                <w:u w:val="none"/>
                <w:lang w:bidi="ar"/>
              </w:rPr>
            </w:pPr>
            <w:r>
              <w:rPr>
                <w:rFonts w:hint="eastAsia" w:ascii="宋体" w:hAnsi="宋体" w:eastAsia="宋体" w:cs="Times New Roman"/>
                <w:kern w:val="0"/>
                <w:sz w:val="21"/>
                <w:szCs w:val="21"/>
                <w:lang w:val="en-US" w:eastAsia="zh-CN" w:bidi="ar"/>
              </w:rPr>
              <w:t>9</w:t>
            </w:r>
          </w:p>
        </w:tc>
        <w:tc>
          <w:tcPr>
            <w:tcW w:w="2822" w:type="pct"/>
            <w:tcBorders>
              <w:tl2br w:val="nil"/>
              <w:tr2bl w:val="nil"/>
            </w:tcBorders>
            <w:shd w:val="clear" w:color="auto" w:fill="auto"/>
            <w:vAlign w:val="center"/>
          </w:tcPr>
          <w:p w14:paraId="160FD3E9">
            <w:pPr>
              <w:spacing w:line="240" w:lineRule="auto"/>
              <w:ind w:firstLine="0" w:firstLineChars="0"/>
              <w:rPr>
                <w:rFonts w:hint="eastAsia" w:ascii="宋体" w:hAnsi="宋体" w:eastAsia="宋体" w:cs="Times New Roman"/>
                <w:sz w:val="21"/>
                <w:szCs w:val="21"/>
                <w:u w:val="none"/>
              </w:rPr>
            </w:pPr>
            <w:r>
              <w:rPr>
                <w:rFonts w:hint="eastAsia" w:ascii="宋体" w:hAnsi="宋体" w:eastAsia="宋体" w:cs="Times New Roman"/>
                <w:sz w:val="21"/>
                <w:szCs w:val="21"/>
                <w:u w:val="none"/>
                <w:lang w:val="en-US" w:eastAsia="zh-CN"/>
              </w:rPr>
              <w:t>1.</w:t>
            </w:r>
            <w:r>
              <w:rPr>
                <w:rFonts w:hint="eastAsia" w:ascii="宋体" w:hAnsi="宋体" w:eastAsia="宋体" w:cs="Times New Roman"/>
                <w:sz w:val="21"/>
                <w:szCs w:val="21"/>
                <w:u w:val="none"/>
              </w:rPr>
              <w:t>加强土壤风险防控，严格按照有关规定实施生产设施设备、构筑物和污染治理设施拆除安全处理处置，防范拆除活动污染土壤。在风险源周边设置土壤监测点位，定期进行土壤污染物监测。在风险源和厂区周边设置长期地下水监测井，定期监测地下水水质。对于已明确存在土壤污染的建设用地高于《土壤环境质量建设用地土壤污染风险管控标准（试行）(GB36600-2018)》中高于管控值时，应依照相关标准及技术要求开展风险评估，确定风险水平，据此明确应采取的措施以及可作为建设用地使用的类别</w:t>
            </w:r>
            <w:r>
              <w:rPr>
                <w:rFonts w:hint="eastAsia" w:ascii="宋体" w:hAnsi="宋体" w:eastAsia="宋体" w:cs="Times New Roman"/>
                <w:sz w:val="21"/>
                <w:szCs w:val="21"/>
                <w:u w:val="none"/>
                <w:lang w:eastAsia="zh-CN"/>
              </w:rPr>
              <w:t>【</w:t>
            </w:r>
            <w:r>
              <w:rPr>
                <w:rFonts w:hint="eastAsia" w:ascii="宋体" w:hAnsi="宋体" w:eastAsia="宋体" w:cs="Times New Roman"/>
                <w:sz w:val="21"/>
                <w:szCs w:val="21"/>
                <w:u w:val="none"/>
                <w:lang w:val="en-US" w:eastAsia="zh-CN"/>
              </w:rPr>
              <w:t>1</w:t>
            </w:r>
            <w:r>
              <w:rPr>
                <w:rFonts w:hint="eastAsia" w:ascii="宋体" w:hAnsi="宋体" w:eastAsia="宋体" w:cs="Times New Roman"/>
                <w:sz w:val="21"/>
                <w:szCs w:val="21"/>
                <w:u w:val="none"/>
                <w:lang w:eastAsia="zh-CN"/>
              </w:rPr>
              <w:t>】</w:t>
            </w:r>
            <w:r>
              <w:rPr>
                <w:rFonts w:hint="eastAsia" w:ascii="宋体" w:hAnsi="宋体" w:eastAsia="宋体" w:cs="Times New Roman"/>
                <w:sz w:val="21"/>
                <w:szCs w:val="21"/>
                <w:u w:val="none"/>
              </w:rPr>
              <w:t>。</w:t>
            </w:r>
          </w:p>
          <w:p w14:paraId="073CEC32">
            <w:pPr>
              <w:spacing w:line="240" w:lineRule="auto"/>
              <w:ind w:firstLine="0" w:firstLineChars="0"/>
              <w:rPr>
                <w:rFonts w:hint="eastAsia" w:ascii="宋体" w:hAnsi="宋体" w:eastAsia="宋体" w:cs="Times New Roman"/>
                <w:sz w:val="21"/>
                <w:szCs w:val="21"/>
                <w:u w:val="none"/>
              </w:rPr>
            </w:pPr>
            <w:r>
              <w:rPr>
                <w:rFonts w:hint="eastAsia" w:ascii="宋体" w:hAnsi="宋体" w:eastAsia="宋体" w:cs="Times New Roman"/>
                <w:sz w:val="21"/>
                <w:szCs w:val="21"/>
                <w:u w:val="none"/>
                <w:lang w:val="en-US" w:eastAsia="zh-CN"/>
              </w:rPr>
              <w:t>2.</w:t>
            </w:r>
            <w:r>
              <w:rPr>
                <w:rFonts w:hint="eastAsia" w:ascii="宋体" w:hAnsi="宋体" w:eastAsia="宋体" w:cs="Times New Roman"/>
                <w:sz w:val="21"/>
                <w:szCs w:val="21"/>
                <w:u w:val="none"/>
              </w:rPr>
              <w:t>加强土壤环境风险管控。制定和实施保亭县土壤污染防治规划及实施方案，实行新增工业用地环境强制调查与备案制度，严格环境准入，规范新增工业用地土壤环境管理。建立建设用地土壤污染风险管控和修复名录，严格用地准入，将建设用地土壤生态环境管理要求纳入国土空间规划和供地管理。开展污染场地再利用的环境风险评估，将场地环境风险评估纳入建设项目环境影响评价，禁止未经评估和无害化治理的污染场地进行土地流转和开发利用。加强污水处理厂污泥监管，对污泥产生、运输、贮存、处理、处置实施全过程管理，建立污泥管理台帐和转移联单制度并开展污泥监测工作，规范污泥处置利用。强化垃圾处理厂渗滤液处理系统的运营管理和监督管理，确保渗滤液处理出水达标排放</w:t>
            </w:r>
            <w:r>
              <w:rPr>
                <w:rFonts w:hint="eastAsia" w:ascii="宋体" w:hAnsi="宋体" w:eastAsia="宋体" w:cs="Times New Roman"/>
                <w:sz w:val="21"/>
                <w:szCs w:val="21"/>
                <w:u w:val="none"/>
                <w:lang w:eastAsia="zh-CN"/>
              </w:rPr>
              <w:t>【</w:t>
            </w:r>
            <w:r>
              <w:rPr>
                <w:rFonts w:hint="eastAsia" w:ascii="宋体" w:hAnsi="宋体" w:eastAsia="宋体" w:cs="Times New Roman"/>
                <w:sz w:val="21"/>
                <w:szCs w:val="21"/>
                <w:u w:val="none"/>
                <w:lang w:val="en-US" w:eastAsia="zh-CN"/>
              </w:rPr>
              <w:t>2</w:t>
            </w:r>
            <w:r>
              <w:rPr>
                <w:rFonts w:hint="eastAsia" w:ascii="宋体" w:hAnsi="宋体" w:eastAsia="宋体" w:cs="Times New Roman"/>
                <w:sz w:val="21"/>
                <w:szCs w:val="21"/>
                <w:u w:val="none"/>
                <w:lang w:eastAsia="zh-CN"/>
              </w:rPr>
              <w:t>】</w:t>
            </w:r>
            <w:r>
              <w:rPr>
                <w:rFonts w:hint="eastAsia" w:ascii="宋体" w:hAnsi="宋体" w:eastAsia="宋体" w:cs="Times New Roman"/>
                <w:sz w:val="21"/>
                <w:szCs w:val="21"/>
                <w:u w:val="none"/>
              </w:rPr>
              <w:t>。</w:t>
            </w:r>
          </w:p>
        </w:tc>
        <w:tc>
          <w:tcPr>
            <w:tcW w:w="1391" w:type="pct"/>
            <w:tcBorders>
              <w:tl2br w:val="nil"/>
              <w:tr2bl w:val="nil"/>
            </w:tcBorders>
            <w:vAlign w:val="center"/>
          </w:tcPr>
          <w:p w14:paraId="5AA3126F">
            <w:pPr>
              <w:spacing w:line="240" w:lineRule="auto"/>
              <w:ind w:firstLine="0" w:firstLineChars="0"/>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《海南省土壤污染防治行动计划实施方案》</w:t>
            </w:r>
          </w:p>
          <w:p w14:paraId="02997EC4">
            <w:pPr>
              <w:spacing w:line="240" w:lineRule="auto"/>
              <w:ind w:firstLine="0" w:firstLineChars="0"/>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《海南省全面加强生态环境保护坚决打好污染防治攻坚战行动方案》</w:t>
            </w:r>
          </w:p>
          <w:p w14:paraId="7420D9E9">
            <w:pPr>
              <w:spacing w:line="240" w:lineRule="auto"/>
              <w:ind w:firstLine="0" w:firstLineChars="0"/>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《土壤环境质量建设用地土壤污染风险管控标准（试行）(GB36600-2018)》</w:t>
            </w:r>
          </w:p>
          <w:p w14:paraId="147720A9">
            <w:pPr>
              <w:spacing w:line="240" w:lineRule="auto"/>
              <w:ind w:firstLine="0" w:firstLineChars="0"/>
              <w:rPr>
                <w:rFonts w:hint="default" w:ascii="宋体" w:hAnsi="宋体" w:eastAsia="宋体" w:cs="Times New Roman"/>
                <w:sz w:val="21"/>
                <w:szCs w:val="22"/>
                <w:u w:val="none"/>
                <w:lang w:val="en-US" w:eastAsia="zh-CN" w:bidi="ar"/>
              </w:rPr>
            </w:pPr>
            <w:r>
              <w:rPr>
                <w:rFonts w:hint="eastAsia" w:ascii="宋体" w:hAnsi="宋体" w:eastAsia="宋体" w:cs="Times New Roman"/>
                <w:sz w:val="21"/>
                <w:szCs w:val="22"/>
                <w:u w:val="none"/>
                <w:lang w:bidi="ar"/>
              </w:rPr>
              <w:t>《保亭黎族苗族自治县“十四五”生态环境保护规划》</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bidi="ar"/>
              </w:rPr>
              <w:t>保环字〔2022〕45号</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2</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第七章第二节</w:t>
            </w:r>
          </w:p>
        </w:tc>
      </w:tr>
      <w:tr w14:paraId="3591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tcBorders>
              <w:tl2br w:val="nil"/>
              <w:tr2bl w:val="nil"/>
            </w:tcBorders>
            <w:vAlign w:val="center"/>
          </w:tcPr>
          <w:p w14:paraId="5F71C950">
            <w:pPr>
              <w:spacing w:line="240" w:lineRule="auto"/>
              <w:ind w:firstLine="0" w:firstLineChars="0"/>
              <w:jc w:val="center"/>
              <w:rPr>
                <w:rFonts w:hint="eastAsia" w:ascii="宋体" w:hAnsi="宋体" w:eastAsia="宋体" w:cs="Times New Roman"/>
                <w:sz w:val="21"/>
                <w:szCs w:val="21"/>
                <w:u w:val="none"/>
              </w:rPr>
            </w:pPr>
            <w:r>
              <w:rPr>
                <w:rFonts w:hint="eastAsia" w:ascii="宋体" w:hAnsi="宋体" w:eastAsia="宋体" w:cs="Times New Roman"/>
                <w:sz w:val="21"/>
                <w:szCs w:val="21"/>
                <w:u w:val="none"/>
              </w:rPr>
              <w:t>资源利用效率要求</w:t>
            </w:r>
          </w:p>
        </w:tc>
        <w:tc>
          <w:tcPr>
            <w:tcW w:w="385" w:type="pct"/>
            <w:tcBorders>
              <w:tl2br w:val="nil"/>
              <w:tr2bl w:val="nil"/>
            </w:tcBorders>
            <w:vAlign w:val="center"/>
          </w:tcPr>
          <w:p w14:paraId="426817AE">
            <w:pPr>
              <w:spacing w:line="240" w:lineRule="auto"/>
              <w:ind w:firstLine="0" w:firstLineChars="0"/>
              <w:jc w:val="center"/>
              <w:rPr>
                <w:rFonts w:hint="eastAsia" w:ascii="宋体" w:hAnsi="宋体" w:eastAsia="宋体" w:cs="Times New Roman"/>
                <w:bCs/>
                <w:sz w:val="21"/>
                <w:szCs w:val="21"/>
                <w:u w:val="none"/>
              </w:rPr>
            </w:pPr>
            <w:r>
              <w:rPr>
                <w:rFonts w:hint="eastAsia" w:ascii="宋体" w:hAnsi="宋体" w:eastAsia="宋体" w:cs="Times New Roman"/>
                <w:bCs/>
                <w:sz w:val="21"/>
                <w:szCs w:val="21"/>
                <w:u w:val="none"/>
              </w:rPr>
              <w:t>水资源利用总量及效率要求</w:t>
            </w:r>
          </w:p>
        </w:tc>
        <w:tc>
          <w:tcPr>
            <w:tcW w:w="157" w:type="pct"/>
            <w:tcBorders>
              <w:tl2br w:val="nil"/>
              <w:tr2bl w:val="nil"/>
            </w:tcBorders>
            <w:vAlign w:val="center"/>
          </w:tcPr>
          <w:p w14:paraId="17848776">
            <w:pPr>
              <w:widowControl/>
              <w:numPr>
                <w:ilvl w:val="0"/>
                <w:numId w:val="0"/>
              </w:numPr>
              <w:spacing w:line="240" w:lineRule="auto"/>
              <w:ind w:left="0" w:leftChars="0" w:firstLine="0" w:firstLineChars="0"/>
              <w:jc w:val="center"/>
              <w:textAlignment w:val="center"/>
              <w:rPr>
                <w:rFonts w:hint="default" w:ascii="宋体" w:hAnsi="宋体" w:eastAsia="宋体" w:cs="Times New Roman"/>
                <w:kern w:val="0"/>
                <w:sz w:val="21"/>
                <w:szCs w:val="21"/>
                <w:u w:val="none"/>
                <w:lang w:val="en-US" w:bidi="ar"/>
              </w:rPr>
            </w:pPr>
            <w:r>
              <w:rPr>
                <w:rFonts w:hint="eastAsia" w:ascii="宋体" w:hAnsi="宋体" w:eastAsia="宋体" w:cs="Times New Roman"/>
                <w:kern w:val="0"/>
                <w:sz w:val="21"/>
                <w:szCs w:val="21"/>
                <w:lang w:val="en-US" w:eastAsia="zh-CN" w:bidi="ar"/>
              </w:rPr>
              <w:t>10</w:t>
            </w:r>
          </w:p>
        </w:tc>
        <w:tc>
          <w:tcPr>
            <w:tcW w:w="2822" w:type="pct"/>
            <w:tcBorders>
              <w:tl2br w:val="nil"/>
              <w:tr2bl w:val="nil"/>
            </w:tcBorders>
            <w:shd w:val="clear" w:color="auto" w:fill="auto"/>
            <w:vAlign w:val="center"/>
          </w:tcPr>
          <w:p w14:paraId="5768F473">
            <w:pPr>
              <w:widowControl/>
              <w:spacing w:line="240" w:lineRule="auto"/>
              <w:ind w:firstLine="0" w:firstLineChars="0"/>
              <w:textAlignment w:val="center"/>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到2025年，保亭县年用水总量、农田灌溉水有效利用系数、万元工业增加值用水量等指标符合《海南省“十四五”水资源利用与保护规划》等相关要求。</w:t>
            </w:r>
          </w:p>
        </w:tc>
        <w:tc>
          <w:tcPr>
            <w:tcW w:w="1391" w:type="pct"/>
            <w:tcBorders>
              <w:tl2br w:val="nil"/>
              <w:tr2bl w:val="nil"/>
            </w:tcBorders>
            <w:vAlign w:val="center"/>
          </w:tcPr>
          <w:p w14:paraId="7D3F7985">
            <w:pPr>
              <w:widowControl/>
              <w:spacing w:line="240" w:lineRule="auto"/>
              <w:ind w:firstLine="0" w:firstLineChars="0"/>
              <w:textAlignment w:val="center"/>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《海南省“十四五”水资源利用与保护规划》（琼府办〔2021〕14号）</w:t>
            </w:r>
          </w:p>
        </w:tc>
      </w:tr>
      <w:tr w14:paraId="2D2F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6B8E60EB">
            <w:pPr>
              <w:spacing w:line="240" w:lineRule="auto"/>
              <w:ind w:firstLine="0" w:firstLineChars="0"/>
              <w:jc w:val="center"/>
              <w:rPr>
                <w:rFonts w:hint="eastAsia" w:ascii="宋体" w:hAnsi="宋体" w:eastAsia="宋体" w:cs="Times New Roman"/>
                <w:sz w:val="21"/>
                <w:szCs w:val="21"/>
                <w:u w:val="none"/>
              </w:rPr>
            </w:pPr>
          </w:p>
        </w:tc>
        <w:tc>
          <w:tcPr>
            <w:tcW w:w="385" w:type="pct"/>
            <w:tcBorders>
              <w:tl2br w:val="nil"/>
              <w:tr2bl w:val="nil"/>
            </w:tcBorders>
            <w:vAlign w:val="center"/>
          </w:tcPr>
          <w:p w14:paraId="60FB0312">
            <w:pPr>
              <w:spacing w:line="240" w:lineRule="auto"/>
              <w:ind w:firstLine="0" w:firstLineChars="0"/>
              <w:jc w:val="center"/>
              <w:rPr>
                <w:rFonts w:hint="eastAsia" w:ascii="宋体" w:hAnsi="宋体" w:eastAsia="宋体" w:cs="Times New Roman"/>
                <w:bCs/>
                <w:sz w:val="21"/>
                <w:szCs w:val="21"/>
                <w:u w:val="none"/>
              </w:rPr>
            </w:pPr>
            <w:r>
              <w:rPr>
                <w:rFonts w:hint="eastAsia" w:ascii="宋体" w:hAnsi="宋体" w:eastAsia="宋体" w:cs="Times New Roman"/>
                <w:bCs/>
                <w:sz w:val="21"/>
                <w:szCs w:val="21"/>
                <w:u w:val="none"/>
              </w:rPr>
              <w:t>土地资源利用效率要求</w:t>
            </w:r>
          </w:p>
        </w:tc>
        <w:tc>
          <w:tcPr>
            <w:tcW w:w="157" w:type="pct"/>
            <w:tcBorders>
              <w:tl2br w:val="nil"/>
              <w:tr2bl w:val="nil"/>
            </w:tcBorders>
            <w:vAlign w:val="center"/>
          </w:tcPr>
          <w:p w14:paraId="0C4564A5">
            <w:pPr>
              <w:widowControl/>
              <w:numPr>
                <w:ilvl w:val="0"/>
                <w:numId w:val="0"/>
              </w:numPr>
              <w:spacing w:line="240" w:lineRule="auto"/>
              <w:ind w:leftChars="0"/>
              <w:jc w:val="center"/>
              <w:textAlignment w:val="center"/>
              <w:rPr>
                <w:rFonts w:hint="default" w:ascii="宋体" w:hAnsi="宋体" w:eastAsia="宋体" w:cs="Times New Roman"/>
                <w:kern w:val="0"/>
                <w:sz w:val="21"/>
                <w:szCs w:val="21"/>
                <w:u w:val="none"/>
                <w:lang w:val="en-US" w:eastAsia="zh-CN" w:bidi="ar"/>
              </w:rPr>
            </w:pPr>
            <w:r>
              <w:rPr>
                <w:rFonts w:hint="eastAsia" w:ascii="宋体" w:hAnsi="宋体" w:eastAsia="宋体" w:cs="Times New Roman"/>
                <w:kern w:val="0"/>
                <w:sz w:val="21"/>
                <w:szCs w:val="21"/>
                <w:u w:val="none"/>
                <w:lang w:val="en-US" w:eastAsia="zh-CN" w:bidi="ar"/>
              </w:rPr>
              <w:t>11</w:t>
            </w:r>
          </w:p>
        </w:tc>
        <w:tc>
          <w:tcPr>
            <w:tcW w:w="2822" w:type="pct"/>
            <w:tcBorders>
              <w:tl2br w:val="nil"/>
              <w:tr2bl w:val="nil"/>
            </w:tcBorders>
            <w:shd w:val="clear" w:color="auto" w:fill="auto"/>
            <w:vAlign w:val="center"/>
          </w:tcPr>
          <w:p w14:paraId="5DBE756A">
            <w:pPr>
              <w:spacing w:line="240" w:lineRule="auto"/>
              <w:ind w:firstLine="0" w:firstLineChars="0"/>
              <w:jc w:val="left"/>
              <w:rPr>
                <w:rFonts w:hint="eastAsia" w:ascii="宋体" w:hAnsi="宋体" w:eastAsia="宋体" w:cs="Times New Roman"/>
                <w:kern w:val="0"/>
                <w:sz w:val="21"/>
                <w:szCs w:val="21"/>
                <w:u w:val="none"/>
              </w:rPr>
            </w:pPr>
            <w:r>
              <w:rPr>
                <w:rFonts w:hint="eastAsia" w:ascii="宋体" w:hAnsi="宋体" w:eastAsia="宋体" w:cs="Times New Roman"/>
                <w:kern w:val="0"/>
                <w:sz w:val="21"/>
                <w:szCs w:val="21"/>
                <w:u w:val="none"/>
              </w:rPr>
              <w:t>规划期内（2021年至2035年）全县耕地保有量不少于58.57平方千米，永久基本农田保护面积不少于53.21平方千米</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lang w:val="en-US" w:eastAsia="zh-CN"/>
              </w:rPr>
              <w:t>1</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rPr>
              <w:t>；在优先划定耕地和永久基本农田、生态保护红线的基础上，避让自然灾害高风险区域，结合人口变化趋势和存量建设用地状况，合理划定城镇开发边界，引导形成集约紧凑的城镇空间格局。按照现状城镇建设用地的1.17倍控制全县城镇开发边界规模</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lang w:val="en-US" w:eastAsia="zh-CN"/>
              </w:rPr>
              <w:t>2</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rPr>
              <w:t>至2035年，全县林地保有量在2020年现状505.83平方千米基础上，实现稳中有增，森林覆盖率、林地保有量、森林蓄积量严格落实省下达指标</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lang w:val="en-US" w:eastAsia="zh-CN"/>
              </w:rPr>
              <w:t>3</w:t>
            </w:r>
            <w:r>
              <w:rPr>
                <w:rFonts w:hint="eastAsia" w:ascii="宋体" w:hAnsi="宋体" w:eastAsia="宋体" w:cs="Times New Roman"/>
                <w:kern w:val="0"/>
                <w:sz w:val="21"/>
                <w:szCs w:val="21"/>
                <w:u w:val="none"/>
                <w:lang w:eastAsia="zh-CN"/>
              </w:rPr>
              <w:t>】</w:t>
            </w:r>
            <w:r>
              <w:rPr>
                <w:rFonts w:hint="eastAsia" w:ascii="宋体" w:hAnsi="宋体" w:eastAsia="宋体" w:cs="Times New Roman"/>
                <w:kern w:val="0"/>
                <w:sz w:val="21"/>
                <w:szCs w:val="21"/>
                <w:u w:val="none"/>
              </w:rPr>
              <w:t>。</w:t>
            </w:r>
          </w:p>
        </w:tc>
        <w:tc>
          <w:tcPr>
            <w:tcW w:w="1391" w:type="pct"/>
            <w:tcBorders>
              <w:tl2br w:val="nil"/>
              <w:tr2bl w:val="nil"/>
            </w:tcBorders>
            <w:vAlign w:val="center"/>
          </w:tcPr>
          <w:p w14:paraId="0265E44F">
            <w:pPr>
              <w:widowControl/>
              <w:spacing w:line="240" w:lineRule="auto"/>
              <w:ind w:firstLine="0" w:firstLineChars="0"/>
              <w:textAlignment w:val="center"/>
              <w:rPr>
                <w:rFonts w:hint="default" w:ascii="宋体" w:hAnsi="宋体" w:eastAsia="宋体" w:cs="Times New Roman"/>
                <w:sz w:val="21"/>
                <w:szCs w:val="22"/>
                <w:u w:val="none"/>
                <w:lang w:val="en-US" w:eastAsia="zh-CN" w:bidi="ar"/>
              </w:rPr>
            </w:pPr>
            <w:r>
              <w:rPr>
                <w:rFonts w:hint="eastAsia" w:ascii="宋体" w:hAnsi="宋体" w:eastAsia="宋体" w:cs="Times New Roman"/>
                <w:sz w:val="21"/>
                <w:szCs w:val="22"/>
                <w:u w:val="none"/>
                <w:lang w:bidi="ar"/>
              </w:rPr>
              <w:t>《保亭黎族苗族自治县国土空间总体规划（2021—2035年）》</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1</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val="en-US" w:eastAsia="zh-CN" w:bidi="ar"/>
              </w:rPr>
              <w:t>第23条、【2】第25条、【3】第58条、</w:t>
            </w:r>
          </w:p>
        </w:tc>
      </w:tr>
      <w:tr w14:paraId="1529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tcBorders>
              <w:tl2br w:val="nil"/>
              <w:tr2bl w:val="nil"/>
            </w:tcBorders>
            <w:vAlign w:val="center"/>
          </w:tcPr>
          <w:p w14:paraId="0420947E">
            <w:pPr>
              <w:spacing w:line="240" w:lineRule="auto"/>
              <w:ind w:firstLine="0" w:firstLineChars="0"/>
              <w:jc w:val="center"/>
              <w:rPr>
                <w:rFonts w:hint="eastAsia" w:ascii="宋体" w:hAnsi="宋体" w:eastAsia="宋体" w:cs="Times New Roman"/>
                <w:sz w:val="21"/>
                <w:szCs w:val="21"/>
                <w:u w:val="none"/>
              </w:rPr>
            </w:pPr>
            <w:bookmarkStart w:id="23" w:name="_Toc22097"/>
          </w:p>
        </w:tc>
        <w:tc>
          <w:tcPr>
            <w:tcW w:w="385" w:type="pct"/>
            <w:tcBorders>
              <w:tl2br w:val="nil"/>
              <w:tr2bl w:val="nil"/>
            </w:tcBorders>
            <w:vAlign w:val="center"/>
          </w:tcPr>
          <w:p w14:paraId="6021B75F">
            <w:pPr>
              <w:spacing w:line="240" w:lineRule="auto"/>
              <w:ind w:firstLine="0" w:firstLineChars="0"/>
              <w:jc w:val="center"/>
              <w:rPr>
                <w:rFonts w:hint="eastAsia" w:ascii="宋体" w:hAnsi="宋体" w:eastAsia="宋体" w:cs="Times New Roman"/>
                <w:bCs/>
                <w:sz w:val="21"/>
                <w:szCs w:val="21"/>
                <w:u w:val="none"/>
              </w:rPr>
            </w:pPr>
            <w:r>
              <w:rPr>
                <w:rFonts w:hint="eastAsia" w:ascii="宋体" w:hAnsi="宋体" w:eastAsia="宋体" w:cs="Times New Roman"/>
                <w:bCs/>
                <w:sz w:val="21"/>
                <w:szCs w:val="21"/>
                <w:u w:val="none"/>
              </w:rPr>
              <w:t>能源利用总量及效率要求</w:t>
            </w:r>
          </w:p>
        </w:tc>
        <w:tc>
          <w:tcPr>
            <w:tcW w:w="157" w:type="pct"/>
            <w:tcBorders>
              <w:tl2br w:val="nil"/>
              <w:tr2bl w:val="nil"/>
            </w:tcBorders>
            <w:vAlign w:val="center"/>
          </w:tcPr>
          <w:p w14:paraId="7990D083">
            <w:pPr>
              <w:widowControl/>
              <w:numPr>
                <w:ilvl w:val="0"/>
                <w:numId w:val="0"/>
              </w:numPr>
              <w:spacing w:line="240" w:lineRule="auto"/>
              <w:ind w:leftChars="0"/>
              <w:jc w:val="center"/>
              <w:textAlignment w:val="center"/>
              <w:rPr>
                <w:rFonts w:hint="default" w:ascii="宋体" w:hAnsi="宋体" w:eastAsia="宋体" w:cs="Times New Roman"/>
                <w:kern w:val="0"/>
                <w:sz w:val="21"/>
                <w:szCs w:val="21"/>
                <w:u w:val="none"/>
                <w:lang w:val="en-US" w:eastAsia="zh-CN" w:bidi="ar"/>
              </w:rPr>
            </w:pPr>
            <w:r>
              <w:rPr>
                <w:rFonts w:hint="eastAsia" w:ascii="宋体" w:hAnsi="宋体" w:eastAsia="宋体" w:cs="Times New Roman"/>
                <w:kern w:val="0"/>
                <w:sz w:val="21"/>
                <w:szCs w:val="21"/>
                <w:u w:val="none"/>
                <w:lang w:val="en-US" w:eastAsia="zh-CN" w:bidi="ar"/>
              </w:rPr>
              <w:t>12</w:t>
            </w:r>
          </w:p>
        </w:tc>
        <w:tc>
          <w:tcPr>
            <w:tcW w:w="2822" w:type="pct"/>
            <w:tcBorders>
              <w:tl2br w:val="nil"/>
              <w:tr2bl w:val="nil"/>
            </w:tcBorders>
            <w:shd w:val="clear" w:color="auto" w:fill="auto"/>
            <w:vAlign w:val="center"/>
          </w:tcPr>
          <w:p w14:paraId="6D54CFCA">
            <w:pPr>
              <w:spacing w:line="240" w:lineRule="auto"/>
              <w:ind w:firstLine="0" w:firstLineChars="0"/>
              <w:jc w:val="left"/>
              <w:rPr>
                <w:rFonts w:hint="eastAsia" w:ascii="宋体" w:hAnsi="宋体" w:eastAsia="宋体" w:cs="Times New Roman"/>
                <w:kern w:val="0"/>
                <w:sz w:val="21"/>
                <w:szCs w:val="21"/>
                <w:u w:val="none"/>
              </w:rPr>
            </w:pPr>
            <w:r>
              <w:rPr>
                <w:rFonts w:hint="eastAsia" w:ascii="宋体" w:hAnsi="宋体" w:eastAsia="宋体" w:cs="Times New Roman"/>
                <w:kern w:val="0"/>
                <w:sz w:val="21"/>
                <w:szCs w:val="21"/>
                <w:u w:val="none"/>
              </w:rPr>
              <w:t>到2025年，单位国内生产总值能源消耗和二氧化碳排放下降确保完成省下达目标。到2030年，单位国内生产总值二氧化碳排放相比2005年下降完成省下达目标。</w:t>
            </w:r>
          </w:p>
        </w:tc>
        <w:tc>
          <w:tcPr>
            <w:tcW w:w="1391" w:type="pct"/>
            <w:tcBorders>
              <w:tl2br w:val="nil"/>
              <w:tr2bl w:val="nil"/>
            </w:tcBorders>
            <w:vAlign w:val="center"/>
          </w:tcPr>
          <w:p w14:paraId="22CD0CD8">
            <w:pPr>
              <w:widowControl/>
              <w:spacing w:line="240" w:lineRule="auto"/>
              <w:ind w:firstLine="0" w:firstLineChars="0"/>
              <w:textAlignment w:val="center"/>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《海南省人民政府关于印发海南省碳达峰实施方案的通知》</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bidi="ar"/>
              </w:rPr>
              <w:t>琼府〔2022〕27号</w:t>
            </w:r>
            <w:r>
              <w:rPr>
                <w:rFonts w:hint="eastAsia" w:ascii="宋体" w:hAnsi="宋体" w:eastAsia="宋体" w:cs="Times New Roman"/>
                <w:sz w:val="21"/>
                <w:szCs w:val="22"/>
                <w:u w:val="none"/>
                <w:lang w:eastAsia="zh-CN" w:bidi="ar"/>
              </w:rPr>
              <w:t>）</w:t>
            </w:r>
          </w:p>
          <w:p w14:paraId="1BB30944">
            <w:pPr>
              <w:widowControl/>
              <w:spacing w:line="240" w:lineRule="auto"/>
              <w:ind w:firstLine="0" w:firstLineChars="0"/>
              <w:textAlignment w:val="center"/>
              <w:rPr>
                <w:rFonts w:hint="eastAsia" w:ascii="宋体" w:hAnsi="宋体" w:eastAsia="宋体" w:cs="Times New Roman"/>
                <w:sz w:val="21"/>
                <w:szCs w:val="22"/>
                <w:u w:val="none"/>
                <w:lang w:bidi="ar"/>
              </w:rPr>
            </w:pPr>
            <w:r>
              <w:rPr>
                <w:rFonts w:hint="eastAsia" w:ascii="宋体" w:hAnsi="宋体" w:eastAsia="宋体" w:cs="Times New Roman"/>
                <w:sz w:val="21"/>
                <w:szCs w:val="22"/>
                <w:u w:val="none"/>
                <w:lang w:bidi="ar"/>
              </w:rPr>
              <w:t>《保亭黎族苗族自治县人民政府关于印发保亭黎族苗族自治县碳达峰实施方案的通知》</w:t>
            </w:r>
            <w:r>
              <w:rPr>
                <w:rFonts w:hint="eastAsia" w:ascii="宋体" w:hAnsi="宋体" w:eastAsia="宋体" w:cs="Times New Roman"/>
                <w:sz w:val="21"/>
                <w:szCs w:val="22"/>
                <w:u w:val="none"/>
                <w:lang w:eastAsia="zh-CN" w:bidi="ar"/>
              </w:rPr>
              <w:t>（</w:t>
            </w:r>
            <w:r>
              <w:rPr>
                <w:rFonts w:hint="eastAsia" w:ascii="宋体" w:hAnsi="宋体" w:eastAsia="宋体" w:cs="Times New Roman"/>
                <w:sz w:val="21"/>
                <w:szCs w:val="22"/>
                <w:u w:val="none"/>
                <w:lang w:bidi="ar"/>
              </w:rPr>
              <w:t>保府〔2023〕19号</w:t>
            </w:r>
            <w:r>
              <w:rPr>
                <w:rFonts w:hint="eastAsia" w:ascii="宋体" w:hAnsi="宋体" w:eastAsia="宋体" w:cs="Times New Roman"/>
                <w:sz w:val="21"/>
                <w:szCs w:val="22"/>
                <w:u w:val="none"/>
                <w:lang w:eastAsia="zh-CN" w:bidi="ar"/>
              </w:rPr>
              <w:t>）</w:t>
            </w:r>
          </w:p>
        </w:tc>
      </w:tr>
      <w:bookmarkEnd w:id="22"/>
    </w:tbl>
    <w:p w14:paraId="3BECF501">
      <w:pPr>
        <w:ind w:left="0" w:leftChars="0" w:firstLine="0" w:firstLineChars="0"/>
        <w:rPr>
          <w:rFonts w:hint="eastAsia" w:ascii="仿宋_GB2312" w:hAnsi="仿宋_GB2312" w:eastAsia="仿宋_GB2312" w:cs="仿宋_GB2312"/>
          <w:szCs w:val="21"/>
          <w:u w:val="none"/>
        </w:rPr>
        <w:sectPr>
          <w:footerReference r:id="rId11" w:type="default"/>
          <w:pgSz w:w="23817" w:h="16838" w:orient="landscape"/>
          <w:pgMar w:top="1587" w:right="1701" w:bottom="1474" w:left="1701" w:header="850" w:footer="992" w:gutter="0"/>
          <w:pgNumType w:fmt="decimal"/>
          <w:cols w:space="0" w:num="1"/>
          <w:docGrid w:type="lines" w:linePitch="312" w:charSpace="0"/>
        </w:sectPr>
      </w:pPr>
    </w:p>
    <w:p w14:paraId="0D7288D2">
      <w:pPr>
        <w:keepNext/>
        <w:keepLines/>
        <w:adjustRightInd w:val="0"/>
        <w:snapToGrid w:val="0"/>
        <w:ind w:firstLine="0" w:firstLineChars="0"/>
        <w:outlineLvl w:val="0"/>
        <w:rPr>
          <w:rFonts w:hint="eastAsia" w:ascii="黑体" w:hAnsi="黑体" w:eastAsia="黑体" w:cs="黑体"/>
          <w:bCs/>
          <w:spacing w:val="-4"/>
          <w:kern w:val="44"/>
          <w:sz w:val="32"/>
          <w:szCs w:val="32"/>
          <w:u w:val="none"/>
        </w:rPr>
      </w:pPr>
      <w:bookmarkStart w:id="24" w:name="_Toc10310"/>
      <w:r>
        <w:rPr>
          <w:rFonts w:hint="eastAsia" w:ascii="黑体" w:hAnsi="黑体" w:eastAsia="黑体" w:cs="黑体"/>
          <w:bCs/>
          <w:spacing w:val="-4"/>
          <w:kern w:val="44"/>
          <w:sz w:val="32"/>
          <w:szCs w:val="32"/>
          <w:u w:val="none"/>
          <w:lang w:val="en-US" w:eastAsia="zh-CN"/>
        </w:rPr>
        <w:t>二</w:t>
      </w:r>
      <w:r>
        <w:rPr>
          <w:rFonts w:hint="eastAsia" w:ascii="黑体" w:hAnsi="黑体" w:eastAsia="黑体" w:cs="黑体"/>
          <w:bCs/>
          <w:spacing w:val="-4"/>
          <w:kern w:val="44"/>
          <w:sz w:val="32"/>
          <w:szCs w:val="32"/>
          <w:u w:val="none"/>
        </w:rPr>
        <w:t>、保亭黎族苗族自治县</w:t>
      </w:r>
      <w:r>
        <w:rPr>
          <w:rFonts w:hint="eastAsia" w:ascii="黑体" w:hAnsi="黑体" w:eastAsia="黑体" w:cs="黑体"/>
          <w:bCs/>
          <w:spacing w:val="-4"/>
          <w:kern w:val="44"/>
          <w:sz w:val="32"/>
          <w:szCs w:val="32"/>
          <w:u w:val="none"/>
          <w:lang w:val="en-US" w:eastAsia="zh-CN"/>
        </w:rPr>
        <w:t>陆域</w:t>
      </w:r>
      <w:r>
        <w:rPr>
          <w:rFonts w:hint="eastAsia" w:ascii="黑体" w:hAnsi="黑体" w:eastAsia="黑体" w:cs="黑体"/>
          <w:bCs/>
          <w:spacing w:val="-4"/>
          <w:kern w:val="44"/>
          <w:sz w:val="32"/>
          <w:szCs w:val="32"/>
          <w:u w:val="none"/>
        </w:rPr>
        <w:t>生态环境准入清单</w:t>
      </w:r>
      <w:bookmarkEnd w:id="24"/>
    </w:p>
    <w:p w14:paraId="113F3FC0">
      <w:pPr>
        <w:adjustRightInd w:val="0"/>
        <w:snapToGrid w:val="0"/>
        <w:ind w:firstLine="0" w:firstLineChars="0"/>
        <w:jc w:val="center"/>
        <w:rPr>
          <w:rFonts w:hint="eastAsia" w:ascii="黑体" w:hAnsi="黑体" w:eastAsia="黑体" w:cs="黑体"/>
          <w:bCs/>
          <w:sz w:val="28"/>
          <w:szCs w:val="28"/>
          <w:u w:val="none"/>
        </w:rPr>
      </w:pPr>
      <w:r>
        <w:rPr>
          <w:rFonts w:hint="eastAsia" w:ascii="黑体" w:hAnsi="黑体" w:eastAsia="黑体" w:cs="黑体"/>
          <w:bCs/>
          <w:sz w:val="28"/>
          <w:szCs w:val="28"/>
          <w:u w:val="none"/>
        </w:rPr>
        <w:t>表</w:t>
      </w:r>
      <w:r>
        <w:rPr>
          <w:rFonts w:hint="eastAsia" w:ascii="黑体" w:hAnsi="黑体" w:eastAsia="黑体" w:cs="黑体"/>
          <w:bCs/>
          <w:sz w:val="28"/>
          <w:szCs w:val="28"/>
          <w:u w:val="none"/>
          <w:lang w:val="en-US" w:eastAsia="zh-CN"/>
        </w:rPr>
        <w:t>2</w:t>
      </w:r>
      <w:r>
        <w:rPr>
          <w:rFonts w:hint="eastAsia" w:ascii="黑体" w:hAnsi="黑体" w:eastAsia="黑体" w:cs="黑体"/>
          <w:bCs/>
          <w:sz w:val="28"/>
          <w:szCs w:val="28"/>
          <w:u w:val="none"/>
        </w:rPr>
        <w:t>-1保亭黎族苗族生态环境准入清单</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814"/>
        <w:gridCol w:w="1714"/>
        <w:gridCol w:w="1709"/>
        <w:gridCol w:w="1989"/>
        <w:gridCol w:w="6469"/>
        <w:gridCol w:w="5784"/>
      </w:tblGrid>
      <w:tr w14:paraId="45B3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8" w:type="pct"/>
            <w:shd w:val="clear" w:color="auto" w:fill="auto"/>
            <w:vAlign w:val="center"/>
          </w:tcPr>
          <w:p w14:paraId="131FA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bCs/>
                <w:sz w:val="21"/>
                <w:szCs w:val="21"/>
                <w:u w:val="none"/>
              </w:rPr>
              <w:t>序号</w:t>
            </w:r>
          </w:p>
        </w:tc>
        <w:tc>
          <w:tcPr>
            <w:tcW w:w="665" w:type="pct"/>
            <w:shd w:val="clear" w:color="auto" w:fill="auto"/>
            <w:vAlign w:val="center"/>
          </w:tcPr>
          <w:p w14:paraId="401D9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kern w:val="0"/>
                <w:sz w:val="21"/>
                <w:szCs w:val="21"/>
                <w:u w:val="none"/>
                <w:lang w:bidi="ar"/>
              </w:rPr>
              <w:t>单元名称</w:t>
            </w:r>
          </w:p>
        </w:tc>
        <w:tc>
          <w:tcPr>
            <w:tcW w:w="405" w:type="pct"/>
            <w:vAlign w:val="center"/>
          </w:tcPr>
          <w:p w14:paraId="49B20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kern w:val="0"/>
                <w:sz w:val="21"/>
                <w:szCs w:val="21"/>
                <w:u w:val="none"/>
                <w:lang w:bidi="ar"/>
              </w:rPr>
              <w:t>单元编码</w:t>
            </w:r>
          </w:p>
        </w:tc>
        <w:tc>
          <w:tcPr>
            <w:tcW w:w="404" w:type="pct"/>
            <w:vAlign w:val="center"/>
          </w:tcPr>
          <w:p w14:paraId="4DA1D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bCs/>
                <w:sz w:val="21"/>
                <w:szCs w:val="21"/>
                <w:u w:val="none"/>
              </w:rPr>
              <w:t>环境要素细类</w:t>
            </w:r>
          </w:p>
        </w:tc>
        <w:tc>
          <w:tcPr>
            <w:tcW w:w="470" w:type="pct"/>
            <w:vAlign w:val="center"/>
          </w:tcPr>
          <w:p w14:paraId="53BBD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kern w:val="0"/>
                <w:sz w:val="21"/>
                <w:szCs w:val="21"/>
                <w:u w:val="none"/>
                <w:lang w:bidi="ar"/>
              </w:rPr>
              <w:t>管控要求分类</w:t>
            </w:r>
          </w:p>
        </w:tc>
        <w:tc>
          <w:tcPr>
            <w:tcW w:w="1529" w:type="pct"/>
            <w:shd w:val="clear" w:color="auto" w:fill="auto"/>
            <w:vAlign w:val="center"/>
          </w:tcPr>
          <w:p w14:paraId="15828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bCs/>
                <w:kern w:val="0"/>
                <w:sz w:val="21"/>
                <w:szCs w:val="21"/>
                <w:u w:val="none"/>
                <w:lang w:bidi="ar"/>
              </w:rPr>
              <w:t>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13C69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b/>
                <w:bCs/>
                <w:kern w:val="0"/>
                <w:sz w:val="21"/>
                <w:szCs w:val="21"/>
                <w:u w:val="none"/>
                <w:lang w:bidi="ar"/>
              </w:rPr>
              <w:t>编制依据</w:t>
            </w:r>
          </w:p>
        </w:tc>
      </w:tr>
      <w:tr w14:paraId="12CD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0C468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w:t>
            </w:r>
          </w:p>
        </w:tc>
        <w:tc>
          <w:tcPr>
            <w:tcW w:w="665" w:type="pct"/>
            <w:vMerge w:val="restart"/>
            <w:shd w:val="clear" w:color="auto" w:fill="auto"/>
            <w:vAlign w:val="center"/>
          </w:tcPr>
          <w:p w14:paraId="08A4A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海南省保亭黎族苗族自治县海南热带雨林国家公园核心保护区优先保护单元1</w:t>
            </w:r>
          </w:p>
        </w:tc>
        <w:tc>
          <w:tcPr>
            <w:tcW w:w="405" w:type="pct"/>
            <w:vMerge w:val="restart"/>
            <w:vAlign w:val="center"/>
          </w:tcPr>
          <w:p w14:paraId="304718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ZH46902910001</w:t>
            </w:r>
          </w:p>
        </w:tc>
        <w:tc>
          <w:tcPr>
            <w:tcW w:w="404" w:type="pct"/>
            <w:vMerge w:val="restart"/>
            <w:vAlign w:val="center"/>
          </w:tcPr>
          <w:p w14:paraId="3291A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海南热带雨林国家公园，生态保护红线，水环境优先保护区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，大气环境优先保护区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1A01CE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6A0BEC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内自然保护地核心保护区原则上禁止人为活动，经依法批准的科学研究观测、调查监测、生态修复等法律、法规和国家有关规定允许的活动除外。生态保护红线内涉及自然保护地、饮用水水源保护区的，遵循现有法律法规要求，空间重叠区域从严要求。</w:t>
            </w:r>
          </w:p>
          <w:p w14:paraId="4FC48E9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2.执行海南热带雨林国家公园普适性管控要求。自然保护地整合优化方案国务院批准前，各类自然保护地按照现行经依法批准的保护边界管理。</w:t>
            </w:r>
          </w:p>
          <w:p w14:paraId="429E578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w:t>
            </w:r>
            <w:r>
              <w:rPr>
                <w:rFonts w:hint="eastAsia" w:asciiTheme="minorEastAsia" w:hAnsiTheme="minorEastAsia" w:eastAsiaTheme="minorEastAsia" w:cstheme="minorEastAsia"/>
                <w:sz w:val="21"/>
                <w:szCs w:val="21"/>
                <w:u w:val="none"/>
              </w:rPr>
              <w:t>水环境优先保护区（饮用水水源保护区）</w:t>
            </w:r>
            <w:r>
              <w:rPr>
                <w:rFonts w:hint="eastAsia" w:asciiTheme="minorEastAsia" w:hAnsiTheme="minorEastAsia" w:eastAsiaTheme="minorEastAsia" w:cstheme="minorEastAsia"/>
                <w:kern w:val="0"/>
                <w:sz w:val="21"/>
                <w:szCs w:val="21"/>
                <w:u w:val="none"/>
              </w:rPr>
              <w:t>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p w14:paraId="4F916DE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4.执行水环境优先保护区（高功能水体）普适性管控要求。</w:t>
            </w:r>
          </w:p>
          <w:p w14:paraId="1931FAC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5.执行大气环境优先保护区普适性管控要求。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28A9BD3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《中华人民共和国水污染防治法》第六十四条～第六十七条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《海南省水污染防治条例》第三十八条、第四十条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《海南省饮用水水源保护条例》第二十条～第二十三条、第二十七条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《饮用水水源保护区污染防治管理规定》第十一条、第十二条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《海南经济特区农药管理若干规定》第十四条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《国家公园管理暂行办法》第十七条、第二十五条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《海南热带雨林国家公园条例（试行）》第十七条、第三十六条、第三十七条</w:t>
            </w:r>
          </w:p>
        </w:tc>
      </w:tr>
      <w:tr w14:paraId="484F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6A1B8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3DD55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D5E5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8468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73C9F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6339134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1.执行饮用水水源保护区普适性管控要求。</w:t>
            </w:r>
          </w:p>
          <w:p w14:paraId="1FA64AD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55D0DA2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《污水综合排放标准》（GB8978-1996）4.1.5</w:t>
            </w:r>
          </w:p>
        </w:tc>
      </w:tr>
      <w:tr w14:paraId="6D7A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1311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729FF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DE95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7BAA8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57123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3DF1041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BBD052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136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1A683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w:t>
            </w:r>
          </w:p>
        </w:tc>
        <w:tc>
          <w:tcPr>
            <w:tcW w:w="665" w:type="pct"/>
            <w:vMerge w:val="restart"/>
            <w:shd w:val="clear" w:color="auto" w:fill="auto"/>
            <w:vAlign w:val="center"/>
          </w:tcPr>
          <w:p w14:paraId="2B22E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海南省保亭黎族苗族自治县海南热带雨林国家公园一般控制区优先保护单元1</w:t>
            </w:r>
          </w:p>
        </w:tc>
        <w:tc>
          <w:tcPr>
            <w:tcW w:w="405" w:type="pct"/>
            <w:vMerge w:val="restart"/>
            <w:vAlign w:val="center"/>
          </w:tcPr>
          <w:p w14:paraId="76524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ZH46902910002</w:t>
            </w:r>
          </w:p>
        </w:tc>
        <w:tc>
          <w:tcPr>
            <w:tcW w:w="404" w:type="pct"/>
            <w:vMerge w:val="restart"/>
            <w:vAlign w:val="center"/>
          </w:tcPr>
          <w:p w14:paraId="4CB14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海南热带雨林国家公园，生态保护红线，水环境优先保护区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，大气环境优先保护区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79EF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7CD764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内自然保护地核心保护区原则上禁止人为活动，经依法批准的科学研究观测、调查监测、生态修复等法律、法规和国家有关规定允许的活动除外。生态保护红线内涉及自然保护地、饮用水水源保护区的，遵循现有法律法规要求，空间重叠区域从严要求。</w:t>
            </w:r>
          </w:p>
          <w:p w14:paraId="603F18C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2.执行海南热带雨林国家公园普适性管控要求。自然保护地整合优化方案国务院批准前，各类自然保护地按照现行经依法批准的保护边界管理。</w:t>
            </w:r>
          </w:p>
          <w:p w14:paraId="6FA71A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3.执行水环境优先保护区（高功能水体）普适性管控要求。</w:t>
            </w:r>
          </w:p>
          <w:p w14:paraId="78BF22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4.执行大气环境优先保护区普适性管控要求。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EC0BEC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《国家公园管理暂行办法》第十八条、第二十五条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《海南热带雨林国家公园条例（试行）》第十六条、第十七条、第三十六条、第三十八条</w:t>
            </w:r>
          </w:p>
        </w:tc>
      </w:tr>
      <w:tr w14:paraId="7745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54E5C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0EB84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FDC7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88AC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6004F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4083E1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45F8DD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0FD0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41B7D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w:t>
            </w:r>
          </w:p>
        </w:tc>
        <w:tc>
          <w:tcPr>
            <w:tcW w:w="665" w:type="pct"/>
            <w:vMerge w:val="restart"/>
            <w:shd w:val="clear" w:color="auto" w:fill="auto"/>
            <w:vAlign w:val="center"/>
          </w:tcPr>
          <w:p w14:paraId="45EFA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海南省保亭黎族苗族自治县海南热带雨林国家公园一般控制区优先保护单元2</w:t>
            </w:r>
          </w:p>
        </w:tc>
        <w:tc>
          <w:tcPr>
            <w:tcW w:w="405" w:type="pct"/>
            <w:vMerge w:val="restart"/>
            <w:vAlign w:val="center"/>
          </w:tcPr>
          <w:p w14:paraId="173AB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ZH46902910003</w:t>
            </w:r>
          </w:p>
        </w:tc>
        <w:tc>
          <w:tcPr>
            <w:tcW w:w="404" w:type="pct"/>
            <w:vMerge w:val="restart"/>
            <w:vAlign w:val="center"/>
          </w:tcPr>
          <w:p w14:paraId="41A3B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海南热带雨林国家公园，生态保护红线，水环境优先保护区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，大气环境优先保护区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1494B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CA0937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其他区域严格禁止开发性、生产性建设活动，除国家重大战略项目外，仅允许对生态功能不造成破坏的人为活动。生态保护红线内涉及自然保护地、饮用水水源保护区的，遵循现有法律法规要求，空间重叠区域从严要求。</w:t>
            </w:r>
          </w:p>
          <w:p w14:paraId="77459F6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2.执行海南热带雨林国家公园普适性管控要求。自然保护地整合优化方案国务院批准前，各类自然保护地按照现行经依法批准的保护边界管理。</w:t>
            </w:r>
          </w:p>
          <w:p w14:paraId="45004F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p w14:paraId="37E5F85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4.执行水环境优先保护区（高功能水体）普适性管控要求。</w:t>
            </w:r>
          </w:p>
          <w:p w14:paraId="0C75388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5.执行大气环境优先保护区普适性管控要求。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18A404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《中华人民共和国水污染防治法》第六十四条～第六十七条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《海南省水污染防治条例》第三十八条、第四十条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《海南省饮用水水源保护条例》第二十条～第二十三条、第二十七条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《饮用水水源保护区污染防治管理规定》第十一条、第十二条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《海南经济特区农药管理若干规定》第十四条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《国家公园管理暂行办法》第十八条、第二十五条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《海南热带雨林国家公园条例（试行）》第十六条、第十七条、第三十六条、第三十八条</w:t>
            </w:r>
          </w:p>
        </w:tc>
      </w:tr>
      <w:tr w14:paraId="0A48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E4E1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255B7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0D5F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B088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4026A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6E87F62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1.执行饮用水水源保护区普适性管控要求。</w:t>
            </w:r>
          </w:p>
          <w:p w14:paraId="70FC36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1ED91D6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《污水综合排放标准》（GB8978-1996）4.1.5</w:t>
            </w:r>
          </w:p>
        </w:tc>
      </w:tr>
      <w:tr w14:paraId="5995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049A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44135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62A2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0B35A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23878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119F4C9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56E0A7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5D6F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 w:type="pct"/>
            <w:vMerge w:val="restart"/>
            <w:shd w:val="clear" w:color="auto" w:fill="auto"/>
            <w:vAlign w:val="center"/>
          </w:tcPr>
          <w:p w14:paraId="4F07A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w:t>
            </w:r>
          </w:p>
        </w:tc>
        <w:tc>
          <w:tcPr>
            <w:tcW w:w="665" w:type="pct"/>
            <w:vMerge w:val="restart"/>
            <w:shd w:val="clear" w:color="auto" w:fill="auto"/>
            <w:vAlign w:val="center"/>
          </w:tcPr>
          <w:p w14:paraId="7383E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海南省保亭黎族苗族自治县七仙岭地方级风景名胜区一般控制区优先保护单元1</w:t>
            </w:r>
          </w:p>
        </w:tc>
        <w:tc>
          <w:tcPr>
            <w:tcW w:w="405" w:type="pct"/>
            <w:vMerge w:val="restart"/>
            <w:vAlign w:val="center"/>
          </w:tcPr>
          <w:p w14:paraId="26450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ZH46902910004</w:t>
            </w:r>
          </w:p>
        </w:tc>
        <w:tc>
          <w:tcPr>
            <w:tcW w:w="404" w:type="pct"/>
            <w:vMerge w:val="restart"/>
            <w:vAlign w:val="center"/>
          </w:tcPr>
          <w:p w14:paraId="4241D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风景名胜区，生态保护红线，水环境优先保护区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，大气环境优先保护区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720FD4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0017F1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其他区域严格禁止开发性、生产性建设活动，除国家重大战略项目外，仅允许对生态功能不造成破坏的人为活动。生态保护红线内涉及自然保护地、饮用水水源保护区的，遵循现有法律法规要求，空间重叠区域从严要求。</w:t>
            </w:r>
          </w:p>
          <w:p w14:paraId="31956F1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2.执行风景名胜区普适性管控要求。自然保护地整合优化方案国务院批准前，各类自然保护地按照现行经依法批准的保护边界管理。</w:t>
            </w:r>
          </w:p>
          <w:p w14:paraId="4CD46BD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p w14:paraId="0C395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4.执行水环境优先保护区（高功能水体）普适性管控要求。</w:t>
            </w:r>
          </w:p>
          <w:p w14:paraId="100941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5.执行大气环境优先保护区普适性管控要求。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B80F62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《中华人民共和国水污染防治法》第六十四条～第六十七条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《海南省水污染防治条例》第三十八条、第四十条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《海南省饮用水水源保护条例》第二十条～第二十三条、第二十七条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《饮用水水源保护区污染防治管理规定》第十一条、第十二条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《海南经济特区农药管理若干规定》第十四条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《风景名胜区条例》第二十六条、第二十七条、第二十九条</w:t>
            </w:r>
          </w:p>
        </w:tc>
      </w:tr>
      <w:tr w14:paraId="1304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9E1A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51670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8027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12787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3245E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0730BC8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1.执行饮用水水源保护区普适性管控要求。</w:t>
            </w:r>
          </w:p>
          <w:p w14:paraId="73BC5E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744841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《污水综合排放标准》（GB8978-1996）4.1.5</w:t>
            </w:r>
          </w:p>
        </w:tc>
      </w:tr>
      <w:tr w14:paraId="151A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3636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37B9D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6FC58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08A2F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6EA97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57C30C6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E34A7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0AD0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3095CC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w:t>
            </w:r>
          </w:p>
        </w:tc>
        <w:tc>
          <w:tcPr>
            <w:tcW w:w="665" w:type="pct"/>
            <w:vMerge w:val="restart"/>
            <w:shd w:val="clear" w:color="auto" w:fill="auto"/>
            <w:vAlign w:val="center"/>
          </w:tcPr>
          <w:p w14:paraId="7DCD10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海南省保亭黎族苗族自治县生态保护红线其他区域优先保护单元1</w:t>
            </w:r>
          </w:p>
        </w:tc>
        <w:tc>
          <w:tcPr>
            <w:tcW w:w="405" w:type="pct"/>
            <w:vMerge w:val="restart"/>
            <w:vAlign w:val="center"/>
          </w:tcPr>
          <w:p w14:paraId="3F112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ZH46902910005</w:t>
            </w:r>
          </w:p>
        </w:tc>
        <w:tc>
          <w:tcPr>
            <w:tcW w:w="404" w:type="pct"/>
            <w:vMerge w:val="restart"/>
            <w:vAlign w:val="center"/>
          </w:tcPr>
          <w:p w14:paraId="10CB1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生态保护红线</w:t>
            </w:r>
            <w:r>
              <w:rPr>
                <w:rFonts w:hint="eastAsia" w:asciiTheme="minorEastAsia" w:hAnsiTheme="minorEastAsia" w:eastAsiaTheme="minorEastAsia" w:cstheme="minorEastAsia"/>
                <w:sz w:val="21"/>
                <w:szCs w:val="21"/>
                <w:u w:val="none"/>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59769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13963E8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其他区域严格禁止开发性、生产性建设活动，除国家重大战略项目外，仅允许对生态功能不造成破坏的人为活动。生态保护红线内涉及自然保护地、饮用水水源保护区的，遵循 现有法律法规要求，空间重叠区域从严要求。</w:t>
            </w:r>
          </w:p>
          <w:p w14:paraId="05E95F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tc>
        <w:tc>
          <w:tcPr>
            <w:tcW w:w="1367" w:type="pct"/>
            <w:tcBorders>
              <w:top w:val="nil"/>
              <w:left w:val="single" w:color="auto" w:sz="4" w:space="0"/>
              <w:bottom w:val="single" w:color="auto" w:sz="4" w:space="0"/>
              <w:right w:val="single" w:color="auto" w:sz="4" w:space="0"/>
            </w:tcBorders>
            <w:shd w:val="clear" w:color="auto" w:fill="auto"/>
            <w:vAlign w:val="center"/>
          </w:tcPr>
          <w:p w14:paraId="0B31A69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《中华人民共和国水污染防治法》第六十四条～第六十七条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《海南省水污染防治条例》第三十八条、第四十条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《海南省饮用水水源保护条例》第二十条～第二十三条、第二十七条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《饮用水水源保护区污染防治管理规定》第十一条、第十二条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《海南经济特区农药管理若干规定》第十四条</w:t>
            </w:r>
          </w:p>
        </w:tc>
      </w:tr>
      <w:tr w14:paraId="6E5E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00E4E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8CE1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5F08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3895B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629D6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3302F4B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275DAF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p>
        </w:tc>
      </w:tr>
      <w:tr w14:paraId="048E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78B5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286C5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5FC30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7B44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39B3A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7C0535E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4627EB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42B8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shd w:val="clear" w:color="auto" w:fill="auto"/>
            <w:vAlign w:val="center"/>
          </w:tcPr>
          <w:p w14:paraId="69B96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6</w:t>
            </w:r>
          </w:p>
        </w:tc>
        <w:tc>
          <w:tcPr>
            <w:tcW w:w="665" w:type="pct"/>
            <w:shd w:val="clear" w:color="auto" w:fill="auto"/>
            <w:vAlign w:val="center"/>
          </w:tcPr>
          <w:p w14:paraId="089F5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海南省保亭黎族苗族自治县生态保护红线其他区域优先保护单元2</w:t>
            </w:r>
          </w:p>
        </w:tc>
        <w:tc>
          <w:tcPr>
            <w:tcW w:w="405" w:type="pct"/>
            <w:vAlign w:val="center"/>
          </w:tcPr>
          <w:p w14:paraId="639B7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ZH46902910006</w:t>
            </w:r>
          </w:p>
        </w:tc>
        <w:tc>
          <w:tcPr>
            <w:tcW w:w="404" w:type="pct"/>
            <w:vAlign w:val="center"/>
          </w:tcPr>
          <w:p w14:paraId="5D889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w:t>
            </w:r>
          </w:p>
        </w:tc>
        <w:tc>
          <w:tcPr>
            <w:tcW w:w="470" w:type="pct"/>
            <w:vAlign w:val="center"/>
          </w:tcPr>
          <w:p w14:paraId="5BBAA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6B255F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生态保护红线普适性管控要求。生态保护红线其他区域严格禁止开发性、生产性建设活动，除国家重大战略项目外，仅允许对生态功能不造成破坏的人为活动。生态保护红线内涉及自然保护地的，遵循现有法律法规要求，空间重叠区域从严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D070E3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p>
        </w:tc>
      </w:tr>
      <w:tr w14:paraId="390A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32B54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7</w:t>
            </w:r>
          </w:p>
        </w:tc>
        <w:tc>
          <w:tcPr>
            <w:tcW w:w="665" w:type="pct"/>
            <w:vMerge w:val="restart"/>
            <w:shd w:val="clear" w:color="auto" w:fill="auto"/>
            <w:vAlign w:val="center"/>
          </w:tcPr>
          <w:p w14:paraId="70B785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海南省保亭黎族苗族自治县生态保护红线其他区域优先保护单元3</w:t>
            </w:r>
          </w:p>
        </w:tc>
        <w:tc>
          <w:tcPr>
            <w:tcW w:w="405" w:type="pct"/>
            <w:vMerge w:val="restart"/>
            <w:vAlign w:val="center"/>
          </w:tcPr>
          <w:p w14:paraId="4B8DC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ZH46902910007</w:t>
            </w:r>
          </w:p>
        </w:tc>
        <w:tc>
          <w:tcPr>
            <w:tcW w:w="404" w:type="pct"/>
            <w:vMerge w:val="restart"/>
            <w:vAlign w:val="center"/>
          </w:tcPr>
          <w:p w14:paraId="19184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生态保护红线</w:t>
            </w:r>
            <w:r>
              <w:rPr>
                <w:rFonts w:hint="eastAsia" w:asciiTheme="minorEastAsia" w:hAnsiTheme="minorEastAsia" w:eastAsiaTheme="minorEastAsia" w:cstheme="minorEastAsia"/>
                <w:sz w:val="21"/>
                <w:szCs w:val="21"/>
                <w:u w:val="none"/>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p>
        </w:tc>
        <w:tc>
          <w:tcPr>
            <w:tcW w:w="470" w:type="pct"/>
            <w:vAlign w:val="center"/>
          </w:tcPr>
          <w:p w14:paraId="541B1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6BB0AC5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1.执行生态保护红线普适性管控要求。生态保护红线其他区域严格禁止开发性、生产性建设活动，除国家重大 战略项目外，仅允许对生态功能不造成破坏的人为活动。生态保护红线内涉及自然保护地的，遵循现有法律法规要求，空间重叠区 域从严要求。</w:t>
            </w:r>
          </w:p>
          <w:p w14:paraId="73D1559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b/>
                <w:bCs/>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188172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《自然资源部 生态环境部 国家林业和草原局关于加强生态保护红线管理的通知（试行）》一（一）、（三）</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《海南省生态保护红线管理规定》第十五条、第十八条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《海南省生态保护红线准入管理目录</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修订</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《自然生态空间用途管制办法（试行）》第十五条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tc>
      </w:tr>
      <w:tr w14:paraId="1007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574B2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785CE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1ED98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1B086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2C696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72F1FD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F83029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1D86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07B2A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8</w:t>
            </w:r>
          </w:p>
        </w:tc>
        <w:tc>
          <w:tcPr>
            <w:tcW w:w="665" w:type="pct"/>
            <w:vMerge w:val="restart"/>
            <w:shd w:val="clear" w:color="auto" w:fill="auto"/>
            <w:vAlign w:val="center"/>
          </w:tcPr>
          <w:p w14:paraId="6B487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海南省保亭黎族苗族自治县七仙岭地方级风景名胜区一般控制区优先保护单元2</w:t>
            </w:r>
          </w:p>
        </w:tc>
        <w:tc>
          <w:tcPr>
            <w:tcW w:w="405" w:type="pct"/>
            <w:vMerge w:val="restart"/>
            <w:vAlign w:val="center"/>
          </w:tcPr>
          <w:p w14:paraId="55A82B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ZH46902910008</w:t>
            </w:r>
          </w:p>
        </w:tc>
        <w:tc>
          <w:tcPr>
            <w:tcW w:w="404" w:type="pct"/>
            <w:vMerge w:val="restart"/>
            <w:vAlign w:val="center"/>
          </w:tcPr>
          <w:p w14:paraId="2F898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风景名胜区，一般生态空间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生物多样性维护区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sz w:val="21"/>
                <w:szCs w:val="21"/>
                <w:u w:val="none"/>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sz w:val="21"/>
                <w:szCs w:val="21"/>
                <w:u w:val="none"/>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，大气环境优先保护区</w:t>
            </w:r>
          </w:p>
        </w:tc>
        <w:tc>
          <w:tcPr>
            <w:tcW w:w="470" w:type="pct"/>
            <w:vAlign w:val="center"/>
          </w:tcPr>
          <w:p w14:paraId="4AFC1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C0BD8F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生物多样性维护区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普适性管控要求。一般生态空间涉及自然保护地、饮用水水源保护区的，遵循现有法律法规要求，空间重叠区域从严要求。</w:t>
            </w:r>
          </w:p>
          <w:p w14:paraId="2D8E386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2.执行风景名胜区普适性管控要求。自然保护地整合优化方案国务院批准前，各类自然保护地按照现行经依法批准的保护边界管理。</w:t>
            </w:r>
          </w:p>
          <w:p w14:paraId="44164B6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p w14:paraId="265706D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4.执行水环境优先保护区（高功能水体）普适性管控要求。</w:t>
            </w:r>
          </w:p>
          <w:p w14:paraId="73AEDCF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5.执行大气环境优先保护区普适性管控要求。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1EEB66D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《自然生态空间用途管制办法（试行）》第十二条、第十三条、第十四条</w:t>
            </w:r>
          </w:p>
          <w:p w14:paraId="47D5F41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《海南省国土空间规划（2021—2035年）》第五章第二节</w:t>
            </w:r>
          </w:p>
          <w:p w14:paraId="76010A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《关于贯彻实施国家主体功能区环境政策的若干意见》四（二）</w:t>
            </w:r>
          </w:p>
          <w:p w14:paraId="20FB4C5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《中华人民共和国水污染防治法》第六十四条～第六十七条</w:t>
            </w:r>
          </w:p>
          <w:p w14:paraId="63ACD95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《海南省水污染防治条例》第三十八条、第四十条</w:t>
            </w:r>
          </w:p>
          <w:p w14:paraId="791B6EE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《海南省饮用水水源保护条例》第二十条～第二十三条、第二十七条</w:t>
            </w:r>
          </w:p>
          <w:p w14:paraId="2C7A242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《饮用水水源保护区污染防治管理规定》第十一条、第十二条</w:t>
            </w:r>
          </w:p>
          <w:p w14:paraId="64CABC3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《海南经济特区农药管理若干规定》第十四条</w:t>
            </w:r>
          </w:p>
          <w:p w14:paraId="50A3A36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《风景名胜区条例》第二十六条、第二十七条、第二十九条</w:t>
            </w:r>
          </w:p>
          <w:p w14:paraId="30C1B32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p w14:paraId="120323E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p>
        </w:tc>
      </w:tr>
      <w:tr w14:paraId="4D9D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18C8B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47CD7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0CDA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D21A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6F1DD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201984F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1.执行饮用水水源保护区普适性管控要求。</w:t>
            </w:r>
          </w:p>
          <w:p w14:paraId="0E0DA0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76198F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p>
          <w:p w14:paraId="4DABA9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4109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B9EF6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0C55A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D7CD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4A4A8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2862E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环境风险管控</w:t>
            </w:r>
          </w:p>
        </w:tc>
        <w:tc>
          <w:tcPr>
            <w:tcW w:w="1529" w:type="pct"/>
            <w:shd w:val="clear" w:color="auto" w:fill="auto"/>
            <w:vAlign w:val="center"/>
          </w:tcPr>
          <w:p w14:paraId="73485F8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E0781C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796A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36FA4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9</w:t>
            </w:r>
          </w:p>
        </w:tc>
        <w:tc>
          <w:tcPr>
            <w:tcW w:w="665" w:type="pct"/>
            <w:vMerge w:val="restart"/>
            <w:shd w:val="clear" w:color="auto" w:fill="auto"/>
            <w:vAlign w:val="center"/>
          </w:tcPr>
          <w:p w14:paraId="3A094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海南省保亭黎族苗族自治县地表水饮用水水源保护区优先保护单元</w:t>
            </w:r>
          </w:p>
        </w:tc>
        <w:tc>
          <w:tcPr>
            <w:tcW w:w="405" w:type="pct"/>
            <w:vMerge w:val="restart"/>
            <w:vAlign w:val="center"/>
          </w:tcPr>
          <w:p w14:paraId="123D69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ZH46902910009</w:t>
            </w:r>
          </w:p>
        </w:tc>
        <w:tc>
          <w:tcPr>
            <w:tcW w:w="404" w:type="pct"/>
            <w:vMerge w:val="restart"/>
            <w:vAlign w:val="center"/>
          </w:tcPr>
          <w:p w14:paraId="59026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水源涵养区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BC12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5D4273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水源涵养区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普适性管控要求。一般生态空间涉及自然保护地、饮用水水源保护区的，遵循现有法律法规要求，空间重叠区域从严要求。</w:t>
            </w:r>
          </w:p>
          <w:p w14:paraId="59567A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饮用水水源保护区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普适性管控要求。在饮用水水源一级保护区内禁止新建、改建、扩建与供水设施和保护水源无关的建设项目。在饮用水水源二级保护区内禁止设置排污口，禁止新建、改建、扩建规模化养殖场、高尔夫球场、制胶、制糖、化工以及其他排放污染物的建设项目或者设施。在饮用水水源准保护区内禁止新建、扩建对水体污染严重的建设项目，改建增加排污量的建设项目。</w:t>
            </w:r>
          </w:p>
        </w:tc>
        <w:tc>
          <w:tcPr>
            <w:tcW w:w="1367" w:type="pct"/>
            <w:tcBorders>
              <w:top w:val="nil"/>
              <w:left w:val="single" w:color="auto" w:sz="4" w:space="0"/>
              <w:bottom w:val="single" w:color="auto" w:sz="4" w:space="0"/>
              <w:right w:val="single" w:color="auto" w:sz="4" w:space="0"/>
            </w:tcBorders>
            <w:shd w:val="clear" w:color="auto" w:fill="auto"/>
            <w:vAlign w:val="center"/>
          </w:tcPr>
          <w:p w14:paraId="38DC7DA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《自然生态空间用途管制办法（试行）》第十二条、第十三条、第十四条</w:t>
            </w:r>
          </w:p>
          <w:p w14:paraId="7DCE2F0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《海南省国土空间规划（2021—2035年）》第五章第二节</w:t>
            </w:r>
          </w:p>
          <w:p w14:paraId="69EE65C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《关于贯彻实施国家主体功能区环境政策的若干意见》四（二）</w:t>
            </w:r>
          </w:p>
          <w:p w14:paraId="79C3351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《中华人民共和国水污染防治法》第六十四条～第六十七条</w:t>
            </w:r>
          </w:p>
          <w:p w14:paraId="50D9B81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《海南省水污染防治条例》第三十八条、第四十条</w:t>
            </w:r>
          </w:p>
          <w:p w14:paraId="4B77E4F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《海南省饮用水水源保护条例》第二十条～第二十三条、第二十七条</w:t>
            </w:r>
          </w:p>
          <w:p w14:paraId="519750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《饮用水水源保护区污染防治管理规定》第十一条、第十二条</w:t>
            </w:r>
          </w:p>
          <w:p w14:paraId="350AC6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《海南经济特区农药管理若干规定》第十四条</w:t>
            </w:r>
          </w:p>
        </w:tc>
      </w:tr>
      <w:tr w14:paraId="0E0D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08F3E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11019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058A8E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2F8EE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178C6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22126B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86F39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《海南省饮用水水源保护条例》第二十条</w:t>
            </w:r>
          </w:p>
        </w:tc>
      </w:tr>
      <w:tr w14:paraId="1CB0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15FF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19CB5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281F78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A6B4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60C7C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5EAF05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执行饮用水水源保护区普适性管控要求。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289FFCC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《海南省饮用水水源保护条例》第二十九条</w:t>
            </w:r>
          </w:p>
        </w:tc>
      </w:tr>
      <w:tr w14:paraId="39CB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428FD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10</w:t>
            </w:r>
          </w:p>
        </w:tc>
        <w:tc>
          <w:tcPr>
            <w:tcW w:w="665" w:type="pct"/>
            <w:vMerge w:val="restart"/>
            <w:shd w:val="clear" w:color="auto" w:fill="auto"/>
            <w:vAlign w:val="center"/>
          </w:tcPr>
          <w:p w14:paraId="24716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海南省保亭黎族苗族自治县一般生态空间生物多样性维护优先保护单元</w:t>
            </w:r>
          </w:p>
        </w:tc>
        <w:tc>
          <w:tcPr>
            <w:tcW w:w="405" w:type="pct"/>
            <w:vMerge w:val="restart"/>
            <w:vAlign w:val="center"/>
          </w:tcPr>
          <w:p w14:paraId="2DC42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ZH46902910010</w:t>
            </w:r>
          </w:p>
        </w:tc>
        <w:tc>
          <w:tcPr>
            <w:tcW w:w="404" w:type="pct"/>
            <w:vMerge w:val="restart"/>
            <w:vAlign w:val="center"/>
          </w:tcPr>
          <w:p w14:paraId="597A3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生物多样性维护区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p>
        </w:tc>
        <w:tc>
          <w:tcPr>
            <w:tcW w:w="470" w:type="pct"/>
            <w:vAlign w:val="center"/>
          </w:tcPr>
          <w:p w14:paraId="40AEF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6626C78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1.执行一般生态空间（生物多样性维护区）普适性管控要求。一般生态空间涉及自然保护地的，遵循现有法律法规要求，空间重叠区域从严要求。</w:t>
            </w:r>
          </w:p>
          <w:p w14:paraId="78C118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7C63A9C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《自然生态空间用途管制办法（试行）》第十二条、第十三条、第十四条</w:t>
            </w:r>
          </w:p>
          <w:p w14:paraId="1676593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《海南省国土空间规划（2021—2035年）》第五章第二节</w:t>
            </w:r>
          </w:p>
          <w:p w14:paraId="554A80D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《关于贯彻实施国家主体功能区环境政策的若干意见》四（二）</w:t>
            </w:r>
          </w:p>
          <w:p w14:paraId="263E298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tc>
      </w:tr>
      <w:tr w14:paraId="0044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5CE89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1E9E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6696B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40208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3A1F6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7F25AE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9E1389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6838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7138E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11</w:t>
            </w:r>
          </w:p>
        </w:tc>
        <w:tc>
          <w:tcPr>
            <w:tcW w:w="665" w:type="pct"/>
            <w:vMerge w:val="restart"/>
            <w:shd w:val="clear" w:color="auto" w:fill="auto"/>
            <w:vAlign w:val="center"/>
          </w:tcPr>
          <w:p w14:paraId="2EA08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海南省保亭黎族苗族自治县一般生态空间水土保持优先保护单元</w:t>
            </w:r>
          </w:p>
        </w:tc>
        <w:tc>
          <w:tcPr>
            <w:tcW w:w="405" w:type="pct"/>
            <w:vMerge w:val="restart"/>
            <w:vAlign w:val="center"/>
          </w:tcPr>
          <w:p w14:paraId="6056F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ZH46902910011</w:t>
            </w:r>
          </w:p>
        </w:tc>
        <w:tc>
          <w:tcPr>
            <w:tcW w:w="404" w:type="pct"/>
            <w:vMerge w:val="restart"/>
            <w:vAlign w:val="center"/>
          </w:tcPr>
          <w:p w14:paraId="028B8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水土保持区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p>
        </w:tc>
        <w:tc>
          <w:tcPr>
            <w:tcW w:w="470" w:type="pct"/>
            <w:vAlign w:val="center"/>
          </w:tcPr>
          <w:p w14:paraId="3D505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FA3609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1.执行一般生态空间（水土保持区）普适性管控要求。一般生态空间涉及自然保护地的，遵循现有法律法规要求，空间重叠区域从严要求。</w:t>
            </w:r>
          </w:p>
          <w:p w14:paraId="79BC554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E9B002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《自然生态空间用途管制办法（试行）》第十二条、第十三条、第十四条</w:t>
            </w:r>
          </w:p>
          <w:p w14:paraId="4B62DD7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《海南省国土空间规划（2021—2035年）》第五章第二节</w:t>
            </w:r>
          </w:p>
          <w:p w14:paraId="2AD8237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《中华人民共和国水土保持法》第十八条、第二十条、第二十一条、第二十四条、第三十七条</w:t>
            </w:r>
          </w:p>
          <w:p w14:paraId="40D6176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《关于贯彻实施国家主体功能区环境政策的若干意见》四（二）</w:t>
            </w:r>
          </w:p>
          <w:p w14:paraId="704D801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tc>
      </w:tr>
      <w:tr w14:paraId="7C57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985D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2F053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5A14B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47CF4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76E0F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0A7974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04383B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3C0D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41799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12</w:t>
            </w:r>
          </w:p>
        </w:tc>
        <w:tc>
          <w:tcPr>
            <w:tcW w:w="665" w:type="pct"/>
            <w:vMerge w:val="restart"/>
            <w:shd w:val="clear" w:color="auto" w:fill="auto"/>
            <w:vAlign w:val="center"/>
          </w:tcPr>
          <w:p w14:paraId="70241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海南省保亭黎族苗族自治县一般生态空间水源涵养优先保护单元</w:t>
            </w:r>
          </w:p>
        </w:tc>
        <w:tc>
          <w:tcPr>
            <w:tcW w:w="405" w:type="pct"/>
            <w:vMerge w:val="restart"/>
            <w:vAlign w:val="center"/>
          </w:tcPr>
          <w:p w14:paraId="3348F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ZH46902910012</w:t>
            </w:r>
          </w:p>
        </w:tc>
        <w:tc>
          <w:tcPr>
            <w:tcW w:w="404" w:type="pct"/>
            <w:vMerge w:val="restart"/>
            <w:vAlign w:val="center"/>
          </w:tcPr>
          <w:p w14:paraId="11DBA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一般生态空间</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水源涵养区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p>
        </w:tc>
        <w:tc>
          <w:tcPr>
            <w:tcW w:w="470" w:type="pct"/>
            <w:vAlign w:val="center"/>
          </w:tcPr>
          <w:p w14:paraId="332BD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68610A2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1.执行一般生态空间（水源涵养区）普适性管控要求。一般生态空间涉及自然保护地的，遵循现有法律法规要求，空间重叠区域从严要求。</w:t>
            </w:r>
          </w:p>
          <w:p w14:paraId="6DCEA53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2.执行水环境优先保护区（高功能水体）普适性管控要求。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5E6DF99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《自然生态空间用途管制办法（试行）》第十二条、第十三条、第十四条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《海南省国土空间规划（2021—2035年）》第五章第二节</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《关于贯彻实施国家主体功能区环境政策的若干意见》四（二）</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tc>
      </w:tr>
      <w:tr w14:paraId="7858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69206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1AB6C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0E38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46A0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537CD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bookmarkStart w:id="25" w:name="OLE_LINK18"/>
            <w:r>
              <w:rPr>
                <w:rFonts w:hint="eastAsia" w:asciiTheme="minorEastAsia" w:hAnsiTheme="minorEastAsia" w:eastAsiaTheme="minorEastAsia" w:cstheme="minorEastAsia"/>
                <w:kern w:val="0"/>
                <w:sz w:val="21"/>
                <w:szCs w:val="21"/>
                <w:u w:val="none"/>
              </w:rPr>
              <w:t>污染物排放管控</w:t>
            </w:r>
            <w:bookmarkEnd w:id="25"/>
          </w:p>
        </w:tc>
        <w:tc>
          <w:tcPr>
            <w:tcW w:w="1529" w:type="pct"/>
            <w:shd w:val="clear" w:color="auto" w:fill="auto"/>
            <w:vAlign w:val="center"/>
          </w:tcPr>
          <w:p w14:paraId="5C0568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6C6EB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332B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65099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13</w:t>
            </w:r>
          </w:p>
        </w:tc>
        <w:tc>
          <w:tcPr>
            <w:tcW w:w="665" w:type="pct"/>
            <w:vMerge w:val="restart"/>
            <w:shd w:val="clear" w:color="auto" w:fill="auto"/>
            <w:vAlign w:val="center"/>
          </w:tcPr>
          <w:p w14:paraId="3BD21C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海南省保亭黎族苗族自治县水环境高功能水体优先保护单元</w:t>
            </w:r>
          </w:p>
        </w:tc>
        <w:tc>
          <w:tcPr>
            <w:tcW w:w="405" w:type="pct"/>
            <w:vMerge w:val="restart"/>
            <w:vAlign w:val="center"/>
          </w:tcPr>
          <w:p w14:paraId="06A8A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ZH46902910013</w:t>
            </w:r>
          </w:p>
        </w:tc>
        <w:tc>
          <w:tcPr>
            <w:tcW w:w="404" w:type="pct"/>
            <w:vMerge w:val="restart"/>
            <w:vAlign w:val="center"/>
          </w:tcPr>
          <w:p w14:paraId="1061D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水环境优先保护区</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高功能水体</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，建设用地污染风险重点管控区</w:t>
            </w:r>
          </w:p>
        </w:tc>
        <w:tc>
          <w:tcPr>
            <w:tcW w:w="470" w:type="pct"/>
            <w:vAlign w:val="center"/>
          </w:tcPr>
          <w:p w14:paraId="141F8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EA530E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1.执行水环境优先保护区（高功能水体）普适性管控要求。</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2.严格执行相关行业企业布局选址要求，禁止在居民区和学校、医院、疗养院、养老院等单位周边新建、改建、扩建可能造成土壤污染的建设项目【1】。</w:t>
            </w:r>
          </w:p>
          <w:p w14:paraId="6251CF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3.禁止将重金属或者其他有毒有害物质含量超标的工业固体废物、生活垃圾或者污染土壤用于土地复垦【2】。</w:t>
            </w:r>
          </w:p>
          <w:p w14:paraId="7788D96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3】。</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2541E0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p w14:paraId="6B44382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《中华人民共和国土壤污染防治法》【1】第三十二条、【2】第三十三条、【3】第五十九条</w:t>
            </w:r>
          </w:p>
        </w:tc>
      </w:tr>
      <w:tr w14:paraId="22DF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1017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506BB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FF49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76414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4291F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tcBorders>
              <w:top w:val="single" w:color="auto" w:sz="4" w:space="0"/>
              <w:bottom w:val="single" w:color="auto" w:sz="4" w:space="0"/>
            </w:tcBorders>
            <w:vAlign w:val="center"/>
          </w:tcPr>
          <w:p w14:paraId="2D30328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执行水环境优先保护区（高功能水体）普适性管控要求。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58467AB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《污水综合排放标准》（GB8978-1996）4.1.5</w:t>
            </w:r>
          </w:p>
        </w:tc>
      </w:tr>
      <w:tr w14:paraId="0170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6F0B3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1BD4F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5357C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A492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1307F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2942C67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重点单位终止生产经营活动前，应当参照污染地块土壤环境管理有关规定，开展土壤和地下水环境初步调查，编制调查报告，及时上传全国污染地块土壤环境管理信息系统。</w:t>
            </w:r>
          </w:p>
        </w:tc>
        <w:tc>
          <w:tcPr>
            <w:tcW w:w="1367" w:type="pct"/>
            <w:tcBorders>
              <w:top w:val="nil"/>
              <w:left w:val="single" w:color="auto" w:sz="4" w:space="0"/>
              <w:bottom w:val="single" w:color="auto" w:sz="4" w:space="0"/>
              <w:right w:val="single" w:color="auto" w:sz="4" w:space="0"/>
            </w:tcBorders>
            <w:shd w:val="clear" w:color="auto" w:fill="auto"/>
            <w:vAlign w:val="center"/>
          </w:tcPr>
          <w:p w14:paraId="1CFF19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《工矿用地土壤环境管理办法（试行）》第十六条</w:t>
            </w:r>
          </w:p>
        </w:tc>
      </w:tr>
      <w:tr w14:paraId="569B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4B3DA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14</w:t>
            </w:r>
          </w:p>
        </w:tc>
        <w:tc>
          <w:tcPr>
            <w:tcW w:w="665" w:type="pct"/>
            <w:vMerge w:val="restart"/>
            <w:shd w:val="clear" w:color="auto" w:fill="auto"/>
            <w:vAlign w:val="center"/>
          </w:tcPr>
          <w:p w14:paraId="17232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海南省保亭黎族苗族自治县保城镇集中建设区重点管控单元</w:t>
            </w:r>
          </w:p>
        </w:tc>
        <w:tc>
          <w:tcPr>
            <w:tcW w:w="405" w:type="pct"/>
            <w:vMerge w:val="restart"/>
            <w:vAlign w:val="center"/>
          </w:tcPr>
          <w:p w14:paraId="3A2D1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ZH46902920001</w:t>
            </w:r>
          </w:p>
        </w:tc>
        <w:tc>
          <w:tcPr>
            <w:tcW w:w="404" w:type="pct"/>
            <w:vMerge w:val="restart"/>
            <w:vAlign w:val="center"/>
          </w:tcPr>
          <w:p w14:paraId="6EC7B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水环境城镇生活污染重点管控区，大气环境受体敏感重点管控区，建设用地污染风险重点管控区，高污染燃料禁燃区</w:t>
            </w:r>
          </w:p>
        </w:tc>
        <w:tc>
          <w:tcPr>
            <w:tcW w:w="470" w:type="pct"/>
            <w:vAlign w:val="center"/>
          </w:tcPr>
          <w:p w14:paraId="7E79C8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4DC5859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w:t>
            </w:r>
            <w:bookmarkStart w:id="26" w:name="OLE_LINK28"/>
            <w:r>
              <w:rPr>
                <w:rFonts w:hint="eastAsia" w:asciiTheme="minorEastAsia" w:hAnsiTheme="minorEastAsia" w:eastAsiaTheme="minorEastAsia" w:cstheme="minorEastAsia"/>
                <w:kern w:val="0"/>
                <w:sz w:val="21"/>
                <w:szCs w:val="21"/>
                <w:u w:val="none"/>
              </w:rPr>
              <w:t>执行水环境城镇生活污染重点管控区普适性管控要求。</w:t>
            </w:r>
            <w:bookmarkEnd w:id="26"/>
          </w:p>
          <w:p w14:paraId="2DA327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2.执行大气环境受体敏感重点管控区普适性管控要求。</w:t>
            </w:r>
          </w:p>
          <w:p w14:paraId="6728BF2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3.严格执行相关行业企业布局选址要求，禁止在居民区和学校、医院、疗养院、养老院等单位周边新建、改建、扩建可能造成土壤污染的建设项目【1】。</w:t>
            </w:r>
          </w:p>
          <w:p w14:paraId="213AC5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4.禁止将重金属或者其他有毒有害物质含量超标的工业固体废物、生活垃圾或者污染土壤用于土地复垦【2】。</w:t>
            </w:r>
          </w:p>
          <w:p w14:paraId="66C76E0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3】。</w:t>
            </w:r>
          </w:p>
          <w:p w14:paraId="0BD61D4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lang w:val="en-US" w:eastAsia="zh-CN"/>
              </w:rPr>
              <w:t>6</w:t>
            </w:r>
            <w:r>
              <w:rPr>
                <w:rFonts w:hint="eastAsia" w:asciiTheme="minorEastAsia" w:hAnsiTheme="minorEastAsia" w:eastAsiaTheme="minorEastAsia" w:cstheme="minorEastAsia"/>
                <w:kern w:val="0"/>
                <w:sz w:val="21"/>
                <w:szCs w:val="21"/>
                <w:u w:val="none"/>
              </w:rPr>
              <w:t>.禁止销售、燃用高污染燃料；禁止新建、扩建燃用高污染燃料的设施；已建成的，应当在城市人民政府规定的期限内改用天然气、页岩气、液化石油气、电或者其他清洁能源【4】。</w:t>
            </w:r>
          </w:p>
          <w:p w14:paraId="302EE35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lang w:val="en-US" w:eastAsia="zh-CN"/>
              </w:rPr>
              <w:t>7</w:t>
            </w:r>
            <w:r>
              <w:rPr>
                <w:rFonts w:hint="eastAsia" w:asciiTheme="minorEastAsia" w:hAnsiTheme="minorEastAsia" w:eastAsiaTheme="minorEastAsia" w:cstheme="minorEastAsia"/>
                <w:kern w:val="0"/>
                <w:sz w:val="21"/>
                <w:szCs w:val="21"/>
                <w:u w:val="none"/>
              </w:rPr>
              <w:t>.按照《高污染燃料目录》中类别Ⅲ类（严格）确定禁燃区内禁止燃用的燃料种类，包括煤炭及其制品（包括原煤、散煤、煤矸石、煤泥、煤粉、水煤浆、型煤、焦炭、兰炭等）；石油焦、油页岩、原油、重油、渣油、煤焦油；非专用锅炉或未配置高效除尘设施的专用锅炉燃用的生物质成型燃料【5】。</w:t>
            </w:r>
          </w:p>
        </w:tc>
        <w:tc>
          <w:tcPr>
            <w:tcW w:w="1367" w:type="pct"/>
            <w:tcBorders>
              <w:top w:val="nil"/>
              <w:left w:val="single" w:color="auto" w:sz="4" w:space="0"/>
              <w:bottom w:val="single" w:color="auto" w:sz="4" w:space="0"/>
              <w:right w:val="single" w:color="auto" w:sz="4" w:space="0"/>
            </w:tcBorders>
            <w:shd w:val="clear" w:color="auto" w:fill="auto"/>
            <w:vAlign w:val="center"/>
          </w:tcPr>
          <w:p w14:paraId="4809EDF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《海南省生态环境厅关于进一步规范入河排污口设置管理工作的通知》（琼环水字〔2021〕3号）一（五）</w:t>
            </w:r>
          </w:p>
          <w:p w14:paraId="3FFAE21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16C1540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11C1035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34AA951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p w14:paraId="0F26AE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《中华人民共和国土壤污染防治法》【1】第三十二条、【2】第三十三条、【3】第五十九条</w:t>
            </w:r>
          </w:p>
          <w:p w14:paraId="59F418B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《中华人民共和国大气污染防治法》【4】第三十八条</w:t>
            </w:r>
          </w:p>
          <w:p w14:paraId="0464D25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《高污染燃料目录》（国环规大气〔2017〕2号）【5】</w:t>
            </w:r>
          </w:p>
          <w:p w14:paraId="2AE60D6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《海南省生态环境保护厅转发环境保护部关于公布高污染燃料目录的通知》（琼环气字〔2017〕10号）【5】</w:t>
            </w:r>
          </w:p>
        </w:tc>
      </w:tr>
      <w:tr w14:paraId="24C1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38705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498D1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4E03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857E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0EC2D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7E7757A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1.执行水环境城镇生活污染重点管控区普适性管控要求。</w:t>
            </w:r>
          </w:p>
          <w:p w14:paraId="436A59D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282286C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《海南省水污染防治条例》第二十三条、第二十四条</w:t>
            </w:r>
          </w:p>
          <w:p w14:paraId="4F995D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《海南省环境保护条例》第四十三条</w:t>
            </w:r>
          </w:p>
          <w:p w14:paraId="49B3558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《海南省水污染防治条例》第二十三条</w:t>
            </w:r>
          </w:p>
          <w:p w14:paraId="7FE61A1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三</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十</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47</w:t>
            </w:r>
          </w:p>
          <w:p w14:paraId="3984386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2074A30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35A02F8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5D4CD11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66FD76C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0122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3633F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03786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DBCF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161B6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vAlign w:val="center"/>
          </w:tcPr>
          <w:p w14:paraId="34C16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2EE3878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1.执行大气环境受体敏感重点管控区普适性管控要求。</w:t>
            </w:r>
          </w:p>
          <w:p w14:paraId="69D23C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建设工业固体废物贮存、处置的设施、场所，应当符合国家环境保护标准【1】。</w:t>
            </w:r>
          </w:p>
          <w:p w14:paraId="4163FB6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3.产生工业固体废物的单位需要终止的，应当事先对工业固体废物的贮存、处置的设施、场所采取污染防治措施，并对未处置的工业固体废物作出妥善处置，防止污染环境【2】。</w:t>
            </w:r>
          </w:p>
          <w:p w14:paraId="33B0A34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4.生产、使用、贮存、运输、回收、处置、排放有毒有害物质的单位和个人，应当采取有效措施，防止有毒有害物质渗漏、流失、扬散，避免土壤受到污染【3】。</w:t>
            </w:r>
          </w:p>
          <w:p w14:paraId="1A74436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4】。</w:t>
            </w:r>
          </w:p>
        </w:tc>
        <w:tc>
          <w:tcPr>
            <w:tcW w:w="1367" w:type="pct"/>
            <w:tcBorders>
              <w:top w:val="nil"/>
              <w:left w:val="single" w:color="auto" w:sz="4" w:space="0"/>
              <w:bottom w:val="single" w:color="auto" w:sz="4" w:space="0"/>
              <w:right w:val="single" w:color="auto" w:sz="4" w:space="0"/>
            </w:tcBorders>
            <w:shd w:val="clear" w:color="auto" w:fill="auto"/>
            <w:vAlign w:val="center"/>
          </w:tcPr>
          <w:p w14:paraId="5214F94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p w14:paraId="09ABF08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《中华人民共和国固体废物污染环境防治法》【1】第四十条、【2】第四十一条</w:t>
            </w:r>
          </w:p>
          <w:p w14:paraId="2437862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《中华人民共和国土壤污染防治法》【3】第十九条、【4】第二十二条</w:t>
            </w:r>
          </w:p>
        </w:tc>
      </w:tr>
      <w:tr w14:paraId="386D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1344C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15</w:t>
            </w:r>
          </w:p>
        </w:tc>
        <w:tc>
          <w:tcPr>
            <w:tcW w:w="665" w:type="pct"/>
            <w:vMerge w:val="restart"/>
            <w:shd w:val="clear" w:color="auto" w:fill="auto"/>
            <w:vAlign w:val="center"/>
          </w:tcPr>
          <w:p w14:paraId="4FFD0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海南省保亭黎族苗族自治县什玲镇集中建设区重点管控单元</w:t>
            </w:r>
          </w:p>
        </w:tc>
        <w:tc>
          <w:tcPr>
            <w:tcW w:w="405" w:type="pct"/>
            <w:vMerge w:val="restart"/>
            <w:vAlign w:val="center"/>
          </w:tcPr>
          <w:p w14:paraId="38A74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ZH46902920002</w:t>
            </w:r>
          </w:p>
        </w:tc>
        <w:tc>
          <w:tcPr>
            <w:tcW w:w="404" w:type="pct"/>
            <w:vMerge w:val="restart"/>
            <w:vAlign w:val="center"/>
          </w:tcPr>
          <w:p w14:paraId="045F91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大气环境受体敏感重点管控区，建设用地污染风险重点管控区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616B3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435A9B8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1.执行大气环境受体敏感重点管控区普适性管控要求。</w:t>
            </w:r>
          </w:p>
          <w:p w14:paraId="060C8B9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2.严格执行相关行业企业布局选址要求，禁止在居民区和学校、医院、疗养院、养老院等单位周边新建、改建、扩建可能造成土壤污染的建设项目【1】。</w:t>
            </w:r>
          </w:p>
          <w:p w14:paraId="2A52FC2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3.禁止将重金属或者其他有毒有害物质含量超标的工业固体废物、生活垃圾或者污染土壤用于土地复垦【2】。</w:t>
            </w:r>
          </w:p>
          <w:p w14:paraId="4C9FA8F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3】。</w:t>
            </w:r>
          </w:p>
        </w:tc>
        <w:tc>
          <w:tcPr>
            <w:tcW w:w="1367" w:type="pct"/>
            <w:tcBorders>
              <w:top w:val="nil"/>
              <w:left w:val="single" w:color="auto" w:sz="4" w:space="0"/>
              <w:bottom w:val="single" w:color="auto" w:sz="4" w:space="0"/>
              <w:right w:val="single" w:color="auto" w:sz="4" w:space="0"/>
            </w:tcBorders>
            <w:shd w:val="clear" w:color="auto" w:fill="auto"/>
            <w:vAlign w:val="center"/>
          </w:tcPr>
          <w:p w14:paraId="51D5FD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197ADE5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19B06B6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2014FFF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p w14:paraId="60ABC33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《中华人民共和国土壤污染防治法》【1】第三十二条、【2】第三十三条、【3】第五十九条</w:t>
            </w:r>
          </w:p>
        </w:tc>
      </w:tr>
      <w:tr w14:paraId="7313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561007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40081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12761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747C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77277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2AC4753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7089701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639DFD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3F22F90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3BB7BD5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12E8410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746E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640D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40CD1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164E3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150F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2A6BA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74BDDFC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1.执行大气环境受体敏感重点管控区普适性管控要求。</w:t>
            </w:r>
          </w:p>
          <w:p w14:paraId="333F4A6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2.填埋场运行、封场及后期维护与管理期内,还应根据 CJ176 中关于填埋场稳定控制措施的要求监测填埋场水位,当垃圾堆体主水位接近或超过警戒水位时,应采取措施降低渗滤液水位,提高边坡稳定性。</w:t>
            </w:r>
          </w:p>
          <w:p w14:paraId="1E15712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填埋场运行、封场及后期维护与管理期内,应每三年开展一次防渗衬层完整性检测,并根据防渗衬层完整性检测结果以及地下水水质等信息,定期评估填埋场环境风险。当环境风险较大时,应采取7.10规定的应急处置措施。</w:t>
            </w:r>
          </w:p>
          <w:p w14:paraId="37A215E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填埋场运行、封场及后期维护与管理期内,当发现地下水有被污染的迹象时,应及时查找原因发现渗漏位置并尽快启动应急处置措施和污染防治措施。应急处置措施和污染防治措施可采用地下水抽提处理、堆体内渗滤液抽排处理、防渗衬层修补,垂直防渗工程管控等方式。</w:t>
            </w:r>
          </w:p>
          <w:p w14:paraId="602EC54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填埋场运行、封场及后期维护与管理期间,应建立运行情况记录制度,如实记载有关运行管理情况,主要包括进场垃圾运输车牌号,车辆数量,生活垃圾量,材料消耗,填埋作业记录,渗滤液收集处理记录、填埋气体收集处理记录、封场及后期维护与管理情况,环境监测数据等,以及进入填埋场处置的非生活垃圾等固体废物的来源、种类、数量、填埋位置。</w:t>
            </w:r>
          </w:p>
          <w:p w14:paraId="7D536C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6.封场后进入后期维护与管理阶段的填埋场,应继续运行维护渗液收集和导排系统</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继续处理填埋场产生的渗滤液和填埋气体,定期进行监测,直到填埋场产生的渗滤液中水污染物浓度连续两年低于表2、表3中的限值。</w:t>
            </w:r>
          </w:p>
          <w:p w14:paraId="046B6D0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7.收集、贮存、运输、利用、处置固体废物的单位和其他生产经营者，应当加强对相关设施、设备和场所的管理和维护，保证其正常运行和使用。</w:t>
            </w:r>
          </w:p>
          <w:p w14:paraId="284145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8.产生、收集、贮存、运输、利用、处置固体废物的单位和其他生产经营者，应当采取防扬散、防流失、防渗漏或者其他防止污染环境的措施，不得擅自倾倒、堆放、丢弃、遗撒固体废物。</w:t>
            </w:r>
          </w:p>
        </w:tc>
        <w:tc>
          <w:tcPr>
            <w:tcW w:w="1367" w:type="pct"/>
            <w:tcBorders>
              <w:top w:val="nil"/>
              <w:left w:val="single" w:color="auto" w:sz="4" w:space="0"/>
              <w:bottom w:val="single" w:color="auto" w:sz="4" w:space="0"/>
              <w:right w:val="single" w:color="auto" w:sz="4" w:space="0"/>
            </w:tcBorders>
            <w:shd w:val="clear" w:color="auto" w:fill="auto"/>
            <w:vAlign w:val="center"/>
          </w:tcPr>
          <w:p w14:paraId="76479CB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p w14:paraId="3454376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《生活垃圾填埋场污染控制标准（GB-16889-2024）》7.8-7.11、8.7</w:t>
            </w:r>
          </w:p>
          <w:p w14:paraId="1DDE4E4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《中华人民共和国固体废物污染环境防治法》第十九条、第二十条</w:t>
            </w:r>
          </w:p>
        </w:tc>
      </w:tr>
      <w:tr w14:paraId="7E90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51D64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16</w:t>
            </w:r>
          </w:p>
        </w:tc>
        <w:tc>
          <w:tcPr>
            <w:tcW w:w="665" w:type="pct"/>
            <w:vMerge w:val="restart"/>
            <w:shd w:val="clear" w:color="auto" w:fill="auto"/>
            <w:vAlign w:val="center"/>
          </w:tcPr>
          <w:p w14:paraId="25301C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海南省保亭黎族苗族自治县加茂镇集中建设区重点管控单元</w:t>
            </w:r>
          </w:p>
        </w:tc>
        <w:tc>
          <w:tcPr>
            <w:tcW w:w="405" w:type="pct"/>
            <w:vMerge w:val="restart"/>
            <w:vAlign w:val="center"/>
          </w:tcPr>
          <w:p w14:paraId="41B43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ZH46902920003</w:t>
            </w:r>
          </w:p>
        </w:tc>
        <w:tc>
          <w:tcPr>
            <w:tcW w:w="404" w:type="pct"/>
            <w:vMerge w:val="restart"/>
            <w:vAlign w:val="center"/>
          </w:tcPr>
          <w:p w14:paraId="38EB0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大气环境受体敏感重点管控区，高污染燃料禁燃区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2C703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0263EDC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1.执行大气环境受体敏感重点管控区普适性管控要求。</w:t>
            </w:r>
          </w:p>
          <w:p w14:paraId="4EA4A0C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2.禁止销售、燃用高污染燃料；禁止新建、扩建燃用高污染燃料的设施；已建成的，应当在城市人民政府规定的期限内改用天然气、页岩气、液化石油气、电或者其他清洁能源【</w:t>
            </w:r>
            <w:r>
              <w:rPr>
                <w:rFonts w:hint="eastAsia" w:asciiTheme="minorEastAsia" w:hAnsiTheme="minorEastAsia" w:eastAsiaTheme="minorEastAsia" w:cstheme="minorEastAsia"/>
                <w:kern w:val="0"/>
                <w:sz w:val="21"/>
                <w:szCs w:val="21"/>
                <w:u w:val="none"/>
                <w:lang w:val="en-US" w:eastAsia="zh-CN"/>
              </w:rPr>
              <w:t>1</w:t>
            </w:r>
            <w:r>
              <w:rPr>
                <w:rFonts w:hint="eastAsia" w:asciiTheme="minorEastAsia" w:hAnsiTheme="minorEastAsia" w:eastAsiaTheme="minorEastAsia" w:cstheme="minorEastAsia"/>
                <w:kern w:val="0"/>
                <w:sz w:val="21"/>
                <w:szCs w:val="21"/>
                <w:u w:val="none"/>
              </w:rPr>
              <w:t>】。</w:t>
            </w:r>
          </w:p>
          <w:p w14:paraId="1CB833A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按照《高污染燃料目录》中类别Ⅲ类（严格）确定禁燃区内禁止燃用的燃料种类，包括煤炭及其制品（包括原煤、散煤、煤矸石、煤泥、煤粉、水煤浆、型煤、焦炭、兰炭等）；石油焦、油页岩、原油、重油、渣油、煤焦油；非专用锅炉或未配置高效除尘设施的专用锅炉燃用的生物质成型燃料【</w:t>
            </w:r>
            <w:r>
              <w:rPr>
                <w:rFonts w:hint="eastAsia" w:asciiTheme="minorEastAsia" w:hAnsiTheme="minorEastAsia" w:eastAsiaTheme="minorEastAsia" w:cstheme="minorEastAsia"/>
                <w:kern w:val="0"/>
                <w:sz w:val="21"/>
                <w:szCs w:val="21"/>
                <w:u w:val="none"/>
                <w:lang w:val="en-US" w:eastAsia="zh-CN"/>
              </w:rPr>
              <w:t>2</w:t>
            </w:r>
            <w:r>
              <w:rPr>
                <w:rFonts w:hint="eastAsia" w:asciiTheme="minorEastAsia" w:hAnsiTheme="minorEastAsia" w:eastAsiaTheme="minorEastAsia" w:cstheme="minorEastAsia"/>
                <w:kern w:val="0"/>
                <w:sz w:val="21"/>
                <w:szCs w:val="21"/>
                <w:u w:val="none"/>
              </w:rPr>
              <w:t>】。</w:t>
            </w:r>
          </w:p>
        </w:tc>
        <w:tc>
          <w:tcPr>
            <w:tcW w:w="1367" w:type="pct"/>
            <w:tcBorders>
              <w:top w:val="nil"/>
              <w:left w:val="single" w:color="auto" w:sz="4" w:space="0"/>
              <w:bottom w:val="single" w:color="auto" w:sz="4" w:space="0"/>
              <w:right w:val="single" w:color="auto" w:sz="4" w:space="0"/>
            </w:tcBorders>
            <w:shd w:val="clear" w:color="auto" w:fill="auto"/>
            <w:vAlign w:val="center"/>
          </w:tcPr>
          <w:p w14:paraId="32B6A65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2419381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7688CE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7972542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p w14:paraId="321359A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《中华人民共和国大气污染防治法》【</w:t>
            </w:r>
            <w:r>
              <w:rPr>
                <w:rFonts w:hint="eastAsia" w:asciiTheme="minorEastAsia" w:hAnsiTheme="minorEastAsia" w:eastAsiaTheme="minorEastAsia" w:cstheme="minorEastAsia"/>
                <w:sz w:val="21"/>
                <w:szCs w:val="21"/>
                <w:u w:val="none"/>
                <w:lang w:val="en-US" w:eastAsia="zh-CN"/>
              </w:rPr>
              <w:t>1</w:t>
            </w:r>
            <w:r>
              <w:rPr>
                <w:rFonts w:hint="eastAsia" w:asciiTheme="minorEastAsia" w:hAnsiTheme="minorEastAsia" w:eastAsiaTheme="minorEastAsia" w:cstheme="minorEastAsia"/>
                <w:sz w:val="21"/>
                <w:szCs w:val="21"/>
                <w:u w:val="none"/>
              </w:rPr>
              <w:t>】第三十八条</w:t>
            </w:r>
          </w:p>
          <w:p w14:paraId="2B63FE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《高污染燃料目录》（国环规大气〔2017〕2号）【</w:t>
            </w: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none"/>
              </w:rPr>
              <w:t>】</w:t>
            </w:r>
          </w:p>
          <w:p w14:paraId="3637324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《海南省生态环境保护厅转发环境保护部关于公布高污染燃料目录的通知》（琼环气字〔2017〕10号）【</w:t>
            </w: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none"/>
              </w:rPr>
              <w:t>】</w:t>
            </w:r>
          </w:p>
        </w:tc>
      </w:tr>
      <w:tr w14:paraId="03DB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045AF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30EFA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59A7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426881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3E2E6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17940CF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BECC15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14C179A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5D64AFB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7AB6EF1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56FEB10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626D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0628C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5CFC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6F218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73DD3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084E9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211AFEC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E83695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tc>
      </w:tr>
      <w:tr w14:paraId="3890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2E628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17</w:t>
            </w:r>
          </w:p>
        </w:tc>
        <w:tc>
          <w:tcPr>
            <w:tcW w:w="665" w:type="pct"/>
            <w:vMerge w:val="restart"/>
            <w:shd w:val="clear" w:color="auto" w:fill="auto"/>
            <w:vAlign w:val="center"/>
          </w:tcPr>
          <w:p w14:paraId="14243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海南省保亭黎族苗族自治县响水镇集中建设区重点管控单元</w:t>
            </w:r>
          </w:p>
        </w:tc>
        <w:tc>
          <w:tcPr>
            <w:tcW w:w="405" w:type="pct"/>
            <w:vMerge w:val="restart"/>
            <w:vAlign w:val="center"/>
          </w:tcPr>
          <w:p w14:paraId="4C074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ZH46902920004</w:t>
            </w:r>
          </w:p>
        </w:tc>
        <w:tc>
          <w:tcPr>
            <w:tcW w:w="404" w:type="pct"/>
            <w:vMerge w:val="restart"/>
            <w:vAlign w:val="center"/>
          </w:tcPr>
          <w:p w14:paraId="4DD4D0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7852D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3378C6C3">
            <w:pPr>
              <w:keepNext w:val="0"/>
              <w:keepLines w:val="0"/>
              <w:pageBreakBefore w:val="0"/>
              <w:widowControl w:val="0"/>
              <w:tabs>
                <w:tab w:val="left" w:pos="1846"/>
              </w:tabs>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2E9A9B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5921A8A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7B4FE5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4319319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tc>
      </w:tr>
      <w:tr w14:paraId="3CB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14DE6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33830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440CC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38C66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2ED55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7FF62816">
            <w:pPr>
              <w:keepNext w:val="0"/>
              <w:keepLines w:val="0"/>
              <w:pageBreakBefore w:val="0"/>
              <w:widowControl w:val="0"/>
              <w:tabs>
                <w:tab w:val="left" w:pos="1051"/>
              </w:tabs>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687F839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7EE9103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4E20540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4943FA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4FE5C4B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098B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38713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9520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0AD76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05982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38C6A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34F38F5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8F826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p w14:paraId="30ECDA9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《中华人民共和国固体废物污染环境防治法》第四十条、第四十一条</w:t>
            </w:r>
          </w:p>
        </w:tc>
      </w:tr>
      <w:tr w14:paraId="10FE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3E7F3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18</w:t>
            </w:r>
          </w:p>
        </w:tc>
        <w:tc>
          <w:tcPr>
            <w:tcW w:w="665" w:type="pct"/>
            <w:vMerge w:val="restart"/>
            <w:shd w:val="clear" w:color="auto" w:fill="auto"/>
            <w:vAlign w:val="center"/>
          </w:tcPr>
          <w:p w14:paraId="319200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海南省保亭黎族苗族自治县新政镇集中建设区重点管控单元</w:t>
            </w:r>
          </w:p>
        </w:tc>
        <w:tc>
          <w:tcPr>
            <w:tcW w:w="405" w:type="pct"/>
            <w:vMerge w:val="restart"/>
            <w:vAlign w:val="center"/>
          </w:tcPr>
          <w:p w14:paraId="491DA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ZH46902920005</w:t>
            </w:r>
          </w:p>
        </w:tc>
        <w:tc>
          <w:tcPr>
            <w:tcW w:w="404" w:type="pct"/>
            <w:vMerge w:val="restart"/>
            <w:vAlign w:val="center"/>
          </w:tcPr>
          <w:p w14:paraId="1097C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2AAAB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1CF2E25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1DFFF5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7F6E93E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502CA76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5C1E49B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tc>
      </w:tr>
      <w:tr w14:paraId="39B1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21AF9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9888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5258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7B15B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0B1C2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4AA3E5F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B291E2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3375C82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488C7D2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50A9F3B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22F8B12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5577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690B2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C195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22B77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73F1F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2529C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0E848B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BA5749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tc>
      </w:tr>
      <w:tr w14:paraId="5241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shd w:val="clear" w:color="auto" w:fill="auto"/>
            <w:vAlign w:val="center"/>
          </w:tcPr>
          <w:p w14:paraId="5FAB16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19</w:t>
            </w:r>
          </w:p>
        </w:tc>
        <w:tc>
          <w:tcPr>
            <w:tcW w:w="665" w:type="pct"/>
            <w:vMerge w:val="restart"/>
            <w:shd w:val="clear" w:color="auto" w:fill="auto"/>
            <w:vAlign w:val="center"/>
          </w:tcPr>
          <w:p w14:paraId="4191B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海南省保亭黎族苗族自治县三道镇集中建设区重点管控单元</w:t>
            </w:r>
          </w:p>
        </w:tc>
        <w:tc>
          <w:tcPr>
            <w:tcW w:w="405" w:type="pct"/>
            <w:vMerge w:val="restart"/>
            <w:vAlign w:val="center"/>
          </w:tcPr>
          <w:p w14:paraId="0F47B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ZH46902920006</w:t>
            </w:r>
          </w:p>
        </w:tc>
        <w:tc>
          <w:tcPr>
            <w:tcW w:w="404" w:type="pct"/>
            <w:vMerge w:val="restart"/>
            <w:vAlign w:val="center"/>
          </w:tcPr>
          <w:p w14:paraId="4C400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E4DE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4C9EDD9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3923C2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0C1A5BB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6A3C5FA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292D848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tc>
      </w:tr>
      <w:tr w14:paraId="79A5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4026A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26D46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3CB52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0DF3C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5B849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166FA2D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1763CE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6B046AF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2387C49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2A8EC13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4197DA7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7BFC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shd w:val="clear" w:color="auto" w:fill="auto"/>
            <w:vAlign w:val="center"/>
          </w:tcPr>
          <w:p w14:paraId="645E9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1C940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756B0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2511E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3BD36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6651496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5C95DAE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tc>
      </w:tr>
      <w:tr w14:paraId="2BCA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vAlign w:val="center"/>
          </w:tcPr>
          <w:p w14:paraId="170D2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20</w:t>
            </w:r>
          </w:p>
        </w:tc>
        <w:tc>
          <w:tcPr>
            <w:tcW w:w="665" w:type="pct"/>
            <w:vMerge w:val="restart"/>
            <w:shd w:val="clear" w:color="auto" w:fill="auto"/>
            <w:vAlign w:val="center"/>
          </w:tcPr>
          <w:p w14:paraId="6EAD70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海南省保亭黎族苗族自治县六弓乡集中建设区重点管控单元</w:t>
            </w:r>
          </w:p>
        </w:tc>
        <w:tc>
          <w:tcPr>
            <w:tcW w:w="405" w:type="pct"/>
            <w:vMerge w:val="restart"/>
            <w:vAlign w:val="center"/>
          </w:tcPr>
          <w:p w14:paraId="0EBC6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ZH46902920007</w:t>
            </w:r>
          </w:p>
        </w:tc>
        <w:tc>
          <w:tcPr>
            <w:tcW w:w="404" w:type="pct"/>
            <w:vMerge w:val="restart"/>
            <w:vAlign w:val="center"/>
          </w:tcPr>
          <w:p w14:paraId="6BCA0C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大气环境受体敏感重点管控区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14F8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shd w:val="clear" w:color="auto" w:fill="auto"/>
            <w:vAlign w:val="center"/>
          </w:tcPr>
          <w:p w14:paraId="4E05D71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00411B0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《海南省大气污染防治条例》第二十一条、第四十一条～第四十三条</w:t>
            </w:r>
          </w:p>
          <w:p w14:paraId="5CB7137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w:t>
            </w:r>
          </w:p>
          <w:p w14:paraId="76739FD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《“生态保护红线、环境质量底线、资源利用上线和环境准入负面清单”编制技术指南（试行）》表2</w:t>
            </w:r>
          </w:p>
          <w:p w14:paraId="4CC7E5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《海南省全面加强生态环境保护坚决打好污染防治攻坚战行动方案》（琼发〔2019〕6号）一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一</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w:t>
            </w:r>
          </w:p>
        </w:tc>
      </w:tr>
      <w:tr w14:paraId="2ECB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vAlign w:val="center"/>
          </w:tcPr>
          <w:p w14:paraId="1BABC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278CA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5AB0F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5221B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72CD5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shd w:val="clear" w:color="auto" w:fill="auto"/>
            <w:vAlign w:val="center"/>
          </w:tcPr>
          <w:p w14:paraId="76986BE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24E2220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《海南省大气污染防治条例》第二十四条、第三十四条、第三十五条、第四十二条、第四十四条</w:t>
            </w:r>
          </w:p>
          <w:p w14:paraId="123F22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《海南省机动车排气污染防治规定》第七条</w:t>
            </w:r>
          </w:p>
          <w:p w14:paraId="1B2DCDE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lang w:eastAsia="zh-CN"/>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四</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p>
          <w:p w14:paraId="473FEA4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《海南省深入打好污染防治攻坚战行动方案》（琼发〔2022〕18号）二（二）</w:t>
            </w:r>
          </w:p>
          <w:p w14:paraId="7A0BB9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《海南省“十四五”生态环境保护规划》（琼府办﹝2021﹞36号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第四章第一节</w:t>
            </w:r>
          </w:p>
        </w:tc>
      </w:tr>
      <w:tr w14:paraId="5EFC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vAlign w:val="center"/>
          </w:tcPr>
          <w:p w14:paraId="5D320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shd w:val="clear" w:color="auto" w:fill="auto"/>
            <w:vAlign w:val="center"/>
          </w:tcPr>
          <w:p w14:paraId="6399A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vAlign w:val="center"/>
          </w:tcPr>
          <w:p w14:paraId="18649F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vAlign w:val="center"/>
          </w:tcPr>
          <w:p w14:paraId="67396E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nil"/>
              <w:left w:val="single" w:color="auto" w:sz="4" w:space="0"/>
              <w:bottom w:val="single" w:color="auto" w:sz="4" w:space="0"/>
              <w:right w:val="single" w:color="auto" w:sz="4" w:space="0"/>
            </w:tcBorders>
            <w:shd w:val="clear" w:color="auto" w:fill="auto"/>
            <w:vAlign w:val="center"/>
          </w:tcPr>
          <w:p w14:paraId="21524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shd w:val="clear" w:color="auto" w:fill="auto"/>
            <w:vAlign w:val="center"/>
          </w:tcPr>
          <w:p w14:paraId="6D239E5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执行大气环境受体敏感重点管控区普适性管控要求。</w:t>
            </w:r>
          </w:p>
        </w:tc>
        <w:tc>
          <w:tcPr>
            <w:tcW w:w="1367" w:type="pct"/>
            <w:tcBorders>
              <w:top w:val="nil"/>
              <w:left w:val="single" w:color="auto" w:sz="4" w:space="0"/>
              <w:bottom w:val="single" w:color="auto" w:sz="4" w:space="0"/>
              <w:right w:val="single" w:color="auto" w:sz="4" w:space="0"/>
            </w:tcBorders>
            <w:shd w:val="clear" w:color="auto" w:fill="auto"/>
            <w:vAlign w:val="center"/>
          </w:tcPr>
          <w:p w14:paraId="36791A8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琼发〔2019〕6号</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八</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37、38</w:t>
            </w:r>
          </w:p>
        </w:tc>
      </w:tr>
      <w:tr w14:paraId="1F24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restart"/>
            <w:tcBorders>
              <w:right w:val="single" w:color="auto" w:sz="4" w:space="0"/>
            </w:tcBorders>
            <w:shd w:val="clear" w:color="auto" w:fill="auto"/>
            <w:vAlign w:val="center"/>
          </w:tcPr>
          <w:p w14:paraId="04EAE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21</w:t>
            </w:r>
          </w:p>
        </w:tc>
        <w:tc>
          <w:tcPr>
            <w:tcW w:w="665" w:type="pct"/>
            <w:vMerge w:val="restart"/>
            <w:tcBorders>
              <w:top w:val="single" w:color="auto" w:sz="4" w:space="0"/>
              <w:left w:val="single" w:color="auto" w:sz="4" w:space="0"/>
              <w:right w:val="single" w:color="auto" w:sz="4" w:space="0"/>
            </w:tcBorders>
            <w:shd w:val="clear" w:color="auto" w:fill="auto"/>
            <w:vAlign w:val="center"/>
          </w:tcPr>
          <w:p w14:paraId="42FA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海南省保亭黎族苗族自治县一般管控单元</w:t>
            </w:r>
          </w:p>
        </w:tc>
        <w:tc>
          <w:tcPr>
            <w:tcW w:w="405" w:type="pct"/>
            <w:vMerge w:val="restart"/>
            <w:tcBorders>
              <w:top w:val="single" w:color="auto" w:sz="4" w:space="0"/>
              <w:left w:val="single" w:color="auto" w:sz="4" w:space="0"/>
              <w:right w:val="single" w:color="auto" w:sz="4" w:space="0"/>
            </w:tcBorders>
            <w:vAlign w:val="center"/>
          </w:tcPr>
          <w:p w14:paraId="281CC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ZH46902930001</w:t>
            </w:r>
          </w:p>
        </w:tc>
        <w:tc>
          <w:tcPr>
            <w:tcW w:w="404" w:type="pct"/>
            <w:vMerge w:val="restart"/>
            <w:tcBorders>
              <w:top w:val="single" w:color="auto" w:sz="4" w:space="0"/>
              <w:left w:val="single" w:color="auto" w:sz="4" w:space="0"/>
              <w:right w:val="single" w:color="auto" w:sz="4" w:space="0"/>
            </w:tcBorders>
            <w:vAlign w:val="center"/>
          </w:tcPr>
          <w:p w14:paraId="73BA4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大气环境布局敏感重点管控区，水环境一般管控区，大气环境一般管控区，建设用地污染风险重点管控区，高污染燃料禁燃区</w:t>
            </w: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4BFDB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空间布局约束</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1CE89B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1.执行大气环境布局敏感重点管控区普适性管控要求。</w:t>
            </w:r>
          </w:p>
          <w:p w14:paraId="2299EA0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2.执行大气环境一般管控区普适性管控要求。</w:t>
            </w:r>
          </w:p>
          <w:p w14:paraId="05B301D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3.严格执行相关行业企业布局选址要求，禁止在居民区和学校、医院、疗养院、养老院等单位周边新建、改建、扩建可能造成土壤污染的建设项目【1】。</w:t>
            </w:r>
          </w:p>
          <w:p w14:paraId="3F59F7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4.禁止将重金属或者其他有毒有害物质含量超标的工业固体废物、生活垃圾或者污染土壤用于土地复垦【2】。</w:t>
            </w:r>
          </w:p>
          <w:p w14:paraId="796D9A3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5.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3】</w:t>
            </w:r>
          </w:p>
          <w:p w14:paraId="7CC355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6</w:t>
            </w:r>
            <w:r>
              <w:rPr>
                <w:rFonts w:hint="eastAsia" w:asciiTheme="minorEastAsia" w:hAnsiTheme="minorEastAsia" w:eastAsiaTheme="minorEastAsia" w:cstheme="minorEastAsia"/>
                <w:sz w:val="21"/>
                <w:szCs w:val="21"/>
                <w:u w:val="none"/>
              </w:rPr>
              <w:t>.禁止销售、燃用高污染燃料；禁止新建、扩建燃用高污染燃料的设施；已建成的，应当在城市人民政府规定的期限内改用天然气、页岩气、液化石油气、电或者其他清洁能源【4】。</w:t>
            </w:r>
          </w:p>
          <w:p w14:paraId="6CB7D26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lang w:val="en-US" w:eastAsia="zh-CN"/>
              </w:rPr>
              <w:t>7</w:t>
            </w:r>
            <w:r>
              <w:rPr>
                <w:rFonts w:hint="eastAsia" w:asciiTheme="minorEastAsia" w:hAnsiTheme="minorEastAsia" w:eastAsiaTheme="minorEastAsia" w:cstheme="minorEastAsia"/>
                <w:sz w:val="21"/>
                <w:szCs w:val="21"/>
                <w:u w:val="none"/>
              </w:rPr>
              <w:t>.按照《高污染燃料目录》中类别Ⅲ类（严格）确定禁燃区内禁止燃用的燃料种类，包括煤炭及其制品（包括原煤、散煤、煤矸石、煤泥、煤粉、水煤浆、型煤、焦炭、兰炭等）；石油焦、油页岩、原油、重油、渣油、煤焦油；非专用锅炉或未配置高效除尘设施的专用锅炉燃用的生物质成型燃料【5】。</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47FE086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《海南省大气污染防治行动计划实施细则》三（六）1</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《“生态保护红线、环境质量底线、资源利用上线和环境准入负面清单”编制技术指南</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试行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》表2</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《海南省深入打好污染防治攻坚战行动方案》（琼发〔2022〕18号）二（四）</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《中华人民共和国土壤污染防治法》【1】第三十二条、【2】第三十三条、【3】第五十九条</w:t>
            </w:r>
          </w:p>
          <w:p w14:paraId="7794A1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《中华人民共和国大气污染防治法》【4】第三十八条</w:t>
            </w:r>
          </w:p>
          <w:p w14:paraId="1BF21B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《高污染燃料目录》（国环规大气〔2017〕2号）【5】</w:t>
            </w:r>
          </w:p>
          <w:p w14:paraId="3219B43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《海南省生态环境保护厅转发环境保护部关于公布高污染燃料目录的通知》（琼环气字〔2017〕10号）【5】</w:t>
            </w:r>
          </w:p>
        </w:tc>
      </w:tr>
      <w:tr w14:paraId="474F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tcBorders>
              <w:right w:val="single" w:color="auto" w:sz="4" w:space="0"/>
            </w:tcBorders>
            <w:shd w:val="clear" w:color="auto" w:fill="auto"/>
            <w:vAlign w:val="center"/>
          </w:tcPr>
          <w:p w14:paraId="58060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tcBorders>
              <w:left w:val="single" w:color="auto" w:sz="4" w:space="0"/>
              <w:right w:val="single" w:color="auto" w:sz="4" w:space="0"/>
            </w:tcBorders>
            <w:shd w:val="clear" w:color="auto" w:fill="auto"/>
            <w:vAlign w:val="center"/>
          </w:tcPr>
          <w:p w14:paraId="79DA3C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tcBorders>
              <w:left w:val="single" w:color="auto" w:sz="4" w:space="0"/>
              <w:right w:val="single" w:color="auto" w:sz="4" w:space="0"/>
            </w:tcBorders>
            <w:vAlign w:val="center"/>
          </w:tcPr>
          <w:p w14:paraId="444C6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tcBorders>
              <w:left w:val="single" w:color="auto" w:sz="4" w:space="0"/>
              <w:right w:val="single" w:color="auto" w:sz="4" w:space="0"/>
            </w:tcBorders>
            <w:vAlign w:val="center"/>
          </w:tcPr>
          <w:p w14:paraId="41E78B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6AEC16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污染物排放管控</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5F8E6E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1.执行大气环境布局敏感重点管控区普适性管控要求。</w:t>
            </w:r>
          </w:p>
          <w:p w14:paraId="76283BA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2.执行水环境一般管控区普适性管控要求。</w:t>
            </w:r>
          </w:p>
          <w:p w14:paraId="00847A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3.执行大气环境一般管控区普适性管控要求。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4896413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《海南省全面加强生态环境保护坚决打好污染防治攻坚战行动方案》二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六</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28、二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36</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《海南省水污染防治条例》第二十七条、第二十八条、第三十条、第三十一条、第三十二条</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《海南省“十四五”生态环境保护规划》第六章第二节</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《海南省全面加强生态环境保护坚决打好污染防治攻坚战行动方案》二</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七</w:t>
            </w:r>
            <w:r>
              <w:rPr>
                <w:rFonts w:hint="eastAsia" w:asciiTheme="minorEastAsia" w:hAnsiTheme="minorEastAsia" w:eastAsiaTheme="minorEastAsia" w:cstheme="minorEastAsia"/>
                <w:kern w:val="0"/>
                <w:sz w:val="21"/>
                <w:szCs w:val="21"/>
                <w:u w:val="none"/>
                <w:lang w:eastAsia="zh-CN"/>
              </w:rPr>
              <w:t>）</w:t>
            </w:r>
            <w:r>
              <w:rPr>
                <w:rFonts w:hint="eastAsia" w:asciiTheme="minorEastAsia" w:hAnsiTheme="minorEastAsia" w:eastAsiaTheme="minorEastAsia" w:cstheme="minorEastAsia"/>
                <w:kern w:val="0"/>
                <w:sz w:val="21"/>
                <w:szCs w:val="21"/>
                <w:u w:val="none"/>
              </w:rPr>
              <w:t>36</w:t>
            </w:r>
            <w:r>
              <w:rPr>
                <w:rFonts w:hint="eastAsia" w:asciiTheme="minorEastAsia" w:hAnsiTheme="minorEastAsia" w:eastAsiaTheme="minorEastAsia" w:cstheme="minorEastAsia"/>
                <w:kern w:val="0"/>
                <w:sz w:val="21"/>
                <w:szCs w:val="21"/>
                <w:u w:val="none"/>
              </w:rPr>
              <w:br w:type="textWrapping"/>
            </w:r>
            <w:r>
              <w:rPr>
                <w:rFonts w:hint="eastAsia" w:asciiTheme="minorEastAsia" w:hAnsiTheme="minorEastAsia" w:eastAsiaTheme="minorEastAsia" w:cstheme="minorEastAsia"/>
                <w:kern w:val="0"/>
                <w:sz w:val="21"/>
                <w:szCs w:val="21"/>
                <w:u w:val="none"/>
              </w:rPr>
              <w:t>《海南省深入打好污染防治攻坚战行动方案》（琼发〔2022〕18号）二（四）</w:t>
            </w:r>
          </w:p>
        </w:tc>
      </w:tr>
      <w:tr w14:paraId="1652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tcBorders>
              <w:right w:val="single" w:color="auto" w:sz="4" w:space="0"/>
            </w:tcBorders>
            <w:shd w:val="clear" w:color="auto" w:fill="auto"/>
            <w:vAlign w:val="center"/>
          </w:tcPr>
          <w:p w14:paraId="55BE0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tcBorders>
              <w:left w:val="single" w:color="auto" w:sz="4" w:space="0"/>
              <w:right w:val="single" w:color="auto" w:sz="4" w:space="0"/>
            </w:tcBorders>
            <w:shd w:val="clear" w:color="auto" w:fill="auto"/>
            <w:vAlign w:val="center"/>
          </w:tcPr>
          <w:p w14:paraId="7514D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tcBorders>
              <w:left w:val="single" w:color="auto" w:sz="4" w:space="0"/>
              <w:right w:val="single" w:color="auto" w:sz="4" w:space="0"/>
            </w:tcBorders>
            <w:vAlign w:val="center"/>
          </w:tcPr>
          <w:p w14:paraId="3AC1B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tcBorders>
              <w:left w:val="single" w:color="auto" w:sz="4" w:space="0"/>
              <w:right w:val="single" w:color="auto" w:sz="4" w:space="0"/>
            </w:tcBorders>
            <w:vAlign w:val="center"/>
          </w:tcPr>
          <w:p w14:paraId="34E06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20F3A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环境风险防控</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6DAD61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1</w:t>
            </w:r>
            <w:r>
              <w:rPr>
                <w:rFonts w:hint="eastAsia" w:asciiTheme="minorEastAsia" w:hAnsiTheme="minorEastAsia" w:eastAsiaTheme="minorEastAsia" w:cstheme="minorEastAsia"/>
                <w:sz w:val="21"/>
                <w:szCs w:val="21"/>
                <w:u w:val="none"/>
              </w:rPr>
              <w:t>.填埋场运行、封场及后期维护与管理期内,还应根据 CJ176 中关于填埋场稳定控制措施的要求监测填埋场水位,当垃圾堆体主水位接近或超过警戒水位时,应采取措施降低渗滤液水位,提高边坡稳定性。</w:t>
            </w:r>
          </w:p>
          <w:p w14:paraId="2F8C8D1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none"/>
              </w:rPr>
              <w:t>.填埋场运行、封场及后期维护与管理期内,应每三年开展一次防渗衬层完整性检测,并根据防渗衬层完整性检测结果以及地下水水质等信息,定期评估填埋场环境风险。当环境风险较大时,应采取7.10规定的应急处置措施。</w:t>
            </w:r>
          </w:p>
          <w:p w14:paraId="3E0EAD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3</w:t>
            </w:r>
            <w:r>
              <w:rPr>
                <w:rFonts w:hint="eastAsia" w:asciiTheme="minorEastAsia" w:hAnsiTheme="minorEastAsia" w:eastAsiaTheme="minorEastAsia" w:cstheme="minorEastAsia"/>
                <w:sz w:val="21"/>
                <w:szCs w:val="21"/>
                <w:u w:val="none"/>
              </w:rPr>
              <w:t>.填埋场运行、封场及后期维护与管理期内,当发现地下水有被污染的迹象时,应及时查找原因发现渗漏位置并尽快启动应急处置措施和污染防治措施。应急处置措施和污染防治措施可采用地下水抽提处理、堆体内渗滤液抽排处理、防渗衬层修补,垂直防渗工程管控等方式。</w:t>
            </w:r>
          </w:p>
          <w:p w14:paraId="5432A0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4</w:t>
            </w:r>
            <w:r>
              <w:rPr>
                <w:rFonts w:hint="eastAsia" w:asciiTheme="minorEastAsia" w:hAnsiTheme="minorEastAsia" w:eastAsiaTheme="minorEastAsia" w:cstheme="minorEastAsia"/>
                <w:sz w:val="21"/>
                <w:szCs w:val="21"/>
                <w:u w:val="none"/>
              </w:rPr>
              <w:t>.填埋场运行、封场及后期维护与管理期间,应建立运行情况记录制度,如实记载有关运行管理情况,主要包括进场垃圾运输车牌号,车辆数量,生活垃圾量,材料消耗,填埋作业记录,渗滤液收集处理记录、填埋气体收集处理记录、封场及后期维护与管理情况,环境监测数据等,以及进入填埋场处置的非生活垃圾等固体废物的来源、种类、数量、填埋位置。</w:t>
            </w:r>
          </w:p>
          <w:p w14:paraId="354C0A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5</w:t>
            </w:r>
            <w:r>
              <w:rPr>
                <w:rFonts w:hint="eastAsia" w:asciiTheme="minorEastAsia" w:hAnsiTheme="minorEastAsia" w:eastAsiaTheme="minorEastAsia" w:cstheme="minorEastAsia"/>
                <w:sz w:val="21"/>
                <w:szCs w:val="21"/>
                <w:u w:val="none"/>
              </w:rPr>
              <w:t>.封场后进入后期维护与管理阶段的填埋场,应继续运行维护渗液收集和导排系统;继续处理填埋场产生的渗滤液和填埋气体,定期进行监测,直到填埋场产生的渗滤液中水污染物浓度连续两年低于表2、表3中的限值。</w:t>
            </w:r>
          </w:p>
          <w:p w14:paraId="412E888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lang w:val="en-US" w:eastAsia="zh-CN"/>
              </w:rPr>
              <w:t>6</w:t>
            </w:r>
            <w:r>
              <w:rPr>
                <w:rFonts w:hint="eastAsia" w:asciiTheme="minorEastAsia" w:hAnsiTheme="minorEastAsia" w:eastAsiaTheme="minorEastAsia" w:cstheme="minorEastAsia"/>
                <w:sz w:val="21"/>
                <w:szCs w:val="21"/>
                <w:u w:val="none"/>
              </w:rPr>
              <w:t>.收集、贮存、运输、利用、处置固体废物的单位和其他生产经营者，应当加强对相关设施、设备和场所的管理和维护，保证其正常运行和使用。</w:t>
            </w:r>
          </w:p>
          <w:p w14:paraId="3138A7B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lang w:val="en-US" w:eastAsia="zh-CN"/>
              </w:rPr>
              <w:t>7</w:t>
            </w:r>
            <w:r>
              <w:rPr>
                <w:rFonts w:hint="eastAsia" w:asciiTheme="minorEastAsia" w:hAnsiTheme="minorEastAsia" w:eastAsiaTheme="minorEastAsia" w:cstheme="minorEastAsia"/>
                <w:sz w:val="21"/>
                <w:szCs w:val="21"/>
                <w:u w:val="none"/>
              </w:rPr>
              <w:t>.产生、收集、贮存、运输、利用、处置固体废物的单位和其他生产经营者，应当采取防扬散、防流失、防渗漏或者其他防止污染环境的措施，不得擅自倾倒、堆放、丢弃、遗撒固体废物。</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2B540DC8">
            <w:pPr>
              <w:keepNext w:val="0"/>
              <w:keepLines w:val="0"/>
              <w:pageBreakBefore w:val="0"/>
              <w:widowControl w:val="0"/>
              <w:tabs>
                <w:tab w:val="left" w:pos="1081"/>
              </w:tabs>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《生活垃圾填埋场污染控制标准（GB-16889-2024）》7.8-7.11、8.7</w:t>
            </w:r>
          </w:p>
          <w:p w14:paraId="52A16FF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u w:val="none"/>
              </w:rPr>
              <w:t>《中华人民共和国固体废物污染环境防治法》第十九条、第二十条</w:t>
            </w:r>
          </w:p>
        </w:tc>
      </w:tr>
      <w:tr w14:paraId="0577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 w:type="pct"/>
            <w:vMerge w:val="continue"/>
            <w:tcBorders>
              <w:right w:val="single" w:color="auto" w:sz="4" w:space="0"/>
            </w:tcBorders>
            <w:shd w:val="clear" w:color="auto" w:fill="auto"/>
            <w:vAlign w:val="center"/>
          </w:tcPr>
          <w:p w14:paraId="72770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665" w:type="pct"/>
            <w:vMerge w:val="continue"/>
            <w:tcBorders>
              <w:left w:val="single" w:color="auto" w:sz="4" w:space="0"/>
              <w:bottom w:val="single" w:color="auto" w:sz="4" w:space="0"/>
              <w:right w:val="single" w:color="auto" w:sz="4" w:space="0"/>
            </w:tcBorders>
            <w:shd w:val="clear" w:color="auto" w:fill="auto"/>
            <w:vAlign w:val="center"/>
          </w:tcPr>
          <w:p w14:paraId="5B963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5" w:type="pct"/>
            <w:vMerge w:val="continue"/>
            <w:tcBorders>
              <w:left w:val="single" w:color="auto" w:sz="4" w:space="0"/>
              <w:bottom w:val="single" w:color="auto" w:sz="4" w:space="0"/>
              <w:right w:val="single" w:color="auto" w:sz="4" w:space="0"/>
            </w:tcBorders>
            <w:vAlign w:val="center"/>
          </w:tcPr>
          <w:p w14:paraId="2C228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04" w:type="pct"/>
            <w:vMerge w:val="continue"/>
            <w:tcBorders>
              <w:left w:val="single" w:color="auto" w:sz="4" w:space="0"/>
              <w:bottom w:val="single" w:color="auto" w:sz="4" w:space="0"/>
              <w:right w:val="single" w:color="auto" w:sz="4" w:space="0"/>
            </w:tcBorders>
            <w:vAlign w:val="center"/>
          </w:tcPr>
          <w:p w14:paraId="4416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2772C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资源利用效率要求</w:t>
            </w:r>
          </w:p>
        </w:tc>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14:paraId="2CF10ED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kern w:val="0"/>
                <w:sz w:val="21"/>
                <w:szCs w:val="21"/>
                <w:u w:val="none"/>
              </w:rPr>
              <w:t>执行大气环境一般管控区普适性管控要求。</w:t>
            </w:r>
          </w:p>
        </w:tc>
        <w:tc>
          <w:tcPr>
            <w:tcW w:w="1367" w:type="pct"/>
            <w:tcBorders>
              <w:top w:val="single" w:color="auto" w:sz="4" w:space="0"/>
              <w:left w:val="single" w:color="auto" w:sz="4" w:space="0"/>
              <w:bottom w:val="single" w:color="auto" w:sz="4" w:space="0"/>
              <w:right w:val="single" w:color="auto" w:sz="4" w:space="0"/>
            </w:tcBorders>
            <w:shd w:val="clear" w:color="auto" w:fill="auto"/>
            <w:vAlign w:val="center"/>
          </w:tcPr>
          <w:p w14:paraId="7D3215B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kern w:val="0"/>
                <w:sz w:val="21"/>
                <w:szCs w:val="21"/>
                <w:u w:val="none"/>
              </w:rPr>
            </w:pPr>
            <w:r>
              <w:rPr>
                <w:rFonts w:hint="eastAsia" w:asciiTheme="minorEastAsia" w:hAnsiTheme="minorEastAsia" w:eastAsiaTheme="minorEastAsia" w:cstheme="minorEastAsia"/>
                <w:sz w:val="21"/>
                <w:szCs w:val="21"/>
                <w:u w:val="none"/>
              </w:rPr>
              <w:t>《海南省深入打好污染防治攻坚战行动方案》（琼发〔2022〕18号）二（四）</w:t>
            </w:r>
          </w:p>
        </w:tc>
      </w:tr>
      <w:bookmarkEnd w:id="18"/>
      <w:bookmarkEnd w:id="19"/>
      <w:bookmarkEnd w:id="23"/>
    </w:tbl>
    <w:p w14:paraId="03A86ABD">
      <w:pPr>
        <w:adjustRightInd w:val="0"/>
        <w:snapToGrid w:val="0"/>
        <w:ind w:firstLine="0" w:firstLineChars="0"/>
        <w:jc w:val="left"/>
        <w:rPr>
          <w:rFonts w:hint="eastAsia" w:ascii="仿宋_GB2312" w:hAnsi="仿宋_GB2312" w:eastAsia="仿宋_GB2312" w:cs="仿宋_GB2312"/>
          <w:szCs w:val="21"/>
          <w:u w:val="none"/>
        </w:rPr>
      </w:pPr>
    </w:p>
    <w:p w14:paraId="1F95FEC1">
      <w:pPr>
        <w:ind w:left="0" w:leftChars="0" w:firstLine="0" w:firstLineChars="0"/>
      </w:pPr>
    </w:p>
    <w:sectPr>
      <w:footerReference r:id="rId12" w:type="default"/>
      <w:pgSz w:w="23811" w:h="16838"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仿宋_GB2312"/>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Segoe UI Symbol">
    <w:panose1 w:val="020B0502040204020203"/>
    <w:charset w:val="00"/>
    <w:family w:val="auto"/>
    <w:pitch w:val="default"/>
    <w:sig w:usb0="8000006F" w:usb1="1200FBEF" w:usb2="0004C000" w:usb3="00000000" w:csb0="00000001" w:csb1="40000000"/>
  </w:font>
  <w:font w:name="Univers Condensed">
    <w:panose1 w:val="020B0606020202060204"/>
    <w:charset w:val="00"/>
    <w:family w:val="auto"/>
    <w:pitch w:val="default"/>
    <w:sig w:usb0="00000007" w:usb1="00000000" w:usb2="00000000" w:usb3="00000000" w:csb0="00000093" w:csb1="00000000"/>
  </w:font>
  <w:font w:name="Segoe Script">
    <w:panose1 w:val="020B0504020000000003"/>
    <w:charset w:val="00"/>
    <w:family w:val="auto"/>
    <w:pitch w:val="default"/>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3985F">
    <w:pPr>
      <w:pStyle w:val="4"/>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BA14">
    <w:pPr>
      <w:tabs>
        <w:tab w:val="center" w:pos="4153"/>
        <w:tab w:val="right" w:pos="8306"/>
      </w:tabs>
      <w:snapToGrid w:val="0"/>
      <w:spacing w:line="240" w:lineRule="auto"/>
      <w:ind w:firstLine="0" w:firstLineChars="0"/>
      <w:jc w:val="center"/>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3" name="文本框 1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8C016">
                          <w:pPr>
                            <w:pStyle w:val="4"/>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ezMuAgAAW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Gc3l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RMmzrKw0VvL&#10;I3RkzNvlIYDAltdISsdEzxVmrn2Zfj/iUP95b72u/4TF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2P3szLgIAAFsEAAAOAAAAAAAAAAEAIAAAAB8BAABkcnMvZTJvRG9jLnhtbFBLBQYAAAAA&#10;BgAGAFkBAAC/BQAAAAA=&#10;">
              <v:fill on="f" focussize="0,0"/>
              <v:stroke on="f" weight="0.5pt"/>
              <v:imagedata o:title=""/>
              <o:lock v:ext="edit" aspectratio="f"/>
              <v:textbox inset="0mm,0mm,0mm,0mm" style="mso-fit-shape-to-text:t;">
                <w:txbxContent>
                  <w:p w14:paraId="1138C016">
                    <w:pPr>
                      <w:pStyle w:val="4"/>
                      <w:ind w:firstLine="3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F863">
    <w:pPr>
      <w:widowControl w:val="0"/>
      <w:tabs>
        <w:tab w:val="center" w:pos="4153"/>
        <w:tab w:val="right" w:pos="8306"/>
      </w:tabs>
      <w:snapToGrid w:val="0"/>
      <w:spacing w:line="14" w:lineRule="auto"/>
      <w:jc w:val="center"/>
      <w:rPr>
        <w:rFonts w:ascii="Times New Roman" w:hAnsi="Times New Roman" w:eastAsia="仿宋_GB2312" w:cs="Times New Roman"/>
        <w:kern w:val="2"/>
        <w:sz w:val="20"/>
        <w:szCs w:val="20"/>
        <w:lang w:val="en-US" w:eastAsia="zh-CN" w:bidi="ar-SA"/>
      </w:rPr>
    </w:pPr>
    <w:r>
      <w:rPr>
        <w:rFonts w:ascii="Times New Roman" w:hAnsi="Times New Roman" w:eastAsia="仿宋_GB2312" w:cs="Times New Roman"/>
        <w:kern w:val="2"/>
        <w:sz w:val="20"/>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3956B">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7673956B">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0B98">
    <w:pPr>
      <w:widowControl w:val="0"/>
      <w:tabs>
        <w:tab w:val="center" w:pos="4153"/>
        <w:tab w:val="right" w:pos="8306"/>
      </w:tabs>
      <w:snapToGrid w:val="0"/>
      <w:spacing w:line="14" w:lineRule="auto"/>
      <w:jc w:val="center"/>
      <w:rPr>
        <w:rFonts w:ascii="Times New Roman" w:hAnsi="Times New Roman" w:eastAsia="仿宋_GB2312" w:cs="Times New Roman"/>
        <w:kern w:val="2"/>
        <w:sz w:val="20"/>
        <w:szCs w:val="20"/>
        <w:lang w:val="en-US" w:eastAsia="zh-CN" w:bidi="ar-SA"/>
      </w:rPr>
    </w:pPr>
    <w:r>
      <w:rPr>
        <w:rFonts w:ascii="Times New Roman" w:hAnsi="Times New Roman" w:eastAsia="仿宋_GB2312" w:cs="Times New Roman"/>
        <w:kern w:val="2"/>
        <w:sz w:val="20"/>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F3CBD">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51EF3CBD">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B914A">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ascii="Times New Roman" w:hAnsi="Times New Roman" w:cs="Times New Roman"/>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6A612">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5</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1C66A612">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5</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r>
      <w:rPr>
        <w:rFonts w:ascii="Times New Roman" w:hAnsi="Times New Roman" w:eastAsia="宋体" w:cs="Times New Roman"/>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宋体" w:cs="Times New Roman"/>
                              <w:kern w:val="2"/>
                              <w:sz w:val="21"/>
                              <w:szCs w:val="22"/>
                              <w:lang w:val="en-US" w:eastAsia="zh-CN" w:bidi="ar-SA"/>
                            </w:rPr>
                            <w:id w:val="147478055"/>
                            <w:showingPlcHdr/>
                          </w:sdtPr>
                          <w:sdtEndPr>
                            <w:rPr>
                              <w:rFonts w:ascii="Times New Roman" w:hAnsi="Times New Roman" w:eastAsia="宋体" w:cs="Times New Roman"/>
                              <w:kern w:val="2"/>
                              <w:sz w:val="18"/>
                              <w:szCs w:val="18"/>
                              <w:lang w:val="en-US" w:eastAsia="zh-CN" w:bidi="ar-SA"/>
                            </w:rPr>
                          </w:sdtEndPr>
                          <w:sdtContent>
                            <w:p w14:paraId="499D7165">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hint="eastAsia" w:ascii="Times New Roman" w:hAnsi="Times New Roman" w:eastAsia="宋体" w:cs="Times New Roman"/>
                                  <w:sz w:val="21"/>
                                  <w:szCs w:val="22"/>
                                </w:rPr>
                                <w:t xml:space="preserve">     </w:t>
                              </w:r>
                            </w:p>
                          </w:sdtContent>
                        </w:sdt>
                        <w:p w14:paraId="56D3307B">
                          <w:pPr>
                            <w:ind w:firstLine="420" w:firstLineChars="200"/>
                            <w:rPr>
                              <w:rFonts w:ascii="Times New Roman" w:hAnsi="Times New Roman" w:eastAsia="宋体" w:cs="Times New Roman"/>
                              <w:sz w:val="21"/>
                              <w:szCs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sdt>
                    <w:sdtPr>
                      <w:rPr>
                        <w:rFonts w:ascii="Times New Roman" w:hAnsi="Times New Roman" w:eastAsia="宋体" w:cs="Times New Roman"/>
                        <w:kern w:val="2"/>
                        <w:sz w:val="21"/>
                        <w:szCs w:val="22"/>
                        <w:lang w:val="en-US" w:eastAsia="zh-CN" w:bidi="ar-SA"/>
                      </w:rPr>
                      <w:id w:val="147478055"/>
                      <w:showingPlcHdr/>
                    </w:sdtPr>
                    <w:sdtEndPr>
                      <w:rPr>
                        <w:rFonts w:ascii="Times New Roman" w:hAnsi="Times New Roman" w:eastAsia="宋体" w:cs="Times New Roman"/>
                        <w:kern w:val="2"/>
                        <w:sz w:val="18"/>
                        <w:szCs w:val="18"/>
                        <w:lang w:val="en-US" w:eastAsia="zh-CN" w:bidi="ar-SA"/>
                      </w:rPr>
                    </w:sdtEndPr>
                    <w:sdtContent>
                      <w:p w14:paraId="499D7165">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hint="eastAsia" w:ascii="Times New Roman" w:hAnsi="Times New Roman" w:eastAsia="宋体" w:cs="Times New Roman"/>
                            <w:sz w:val="21"/>
                            <w:szCs w:val="22"/>
                          </w:rPr>
                          <w:t xml:space="preserve">     </w:t>
                        </w:r>
                      </w:p>
                    </w:sdtContent>
                  </w:sdt>
                  <w:p w14:paraId="56D3307B">
                    <w:pPr>
                      <w:ind w:firstLine="420" w:firstLineChars="200"/>
                      <w:rPr>
                        <w:rFonts w:ascii="Times New Roman" w:hAnsi="Times New Roman" w:eastAsia="宋体" w:cs="Times New Roman"/>
                        <w:sz w:val="21"/>
                        <w:szCs w:val="2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85633">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ascii="Times New Roman" w:hAnsi="Times New Roman" w:cs="Times New Roman"/>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7B125">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7</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9D7B125">
                    <w:pPr>
                      <w:widowControl w:val="0"/>
                      <w:tabs>
                        <w:tab w:val="center" w:pos="4153"/>
                        <w:tab w:val="right" w:pos="8306"/>
                      </w:tabs>
                      <w:snapToGrid w:val="0"/>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7</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r>
      <w:rPr>
        <w:rFonts w:ascii="Times New Roman" w:hAnsi="Times New Roman" w:eastAsia="宋体" w:cs="Times New Roman"/>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宋体" w:cs="Times New Roman"/>
                              <w:kern w:val="2"/>
                              <w:sz w:val="21"/>
                              <w:szCs w:val="22"/>
                              <w:lang w:val="en-US" w:eastAsia="zh-CN" w:bidi="ar-SA"/>
                            </w:rPr>
                            <w:id w:val="147453938"/>
                            <w:showingPlcHdr/>
                          </w:sdtPr>
                          <w:sdtEndPr>
                            <w:rPr>
                              <w:rFonts w:ascii="Times New Roman" w:hAnsi="Times New Roman" w:eastAsia="宋体" w:cs="Times New Roman"/>
                              <w:kern w:val="2"/>
                              <w:sz w:val="18"/>
                              <w:szCs w:val="18"/>
                              <w:lang w:val="en-US" w:eastAsia="zh-CN" w:bidi="ar-SA"/>
                            </w:rPr>
                          </w:sdtEndPr>
                          <w:sdtContent>
                            <w:p w14:paraId="2CAD7A1B">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hint="eastAsia" w:ascii="Times New Roman" w:hAnsi="Times New Roman" w:eastAsia="宋体" w:cs="Times New Roman"/>
                                  <w:sz w:val="21"/>
                                  <w:szCs w:val="22"/>
                                </w:rPr>
                                <w:t xml:space="preserve">     </w:t>
                              </w:r>
                            </w:p>
                          </w:sdtContent>
                        </w:sdt>
                        <w:p w14:paraId="7A74DE17">
                          <w:pPr>
                            <w:ind w:firstLine="420" w:firstLineChars="200"/>
                            <w:rPr>
                              <w:rFonts w:ascii="Times New Roman" w:hAnsi="Times New Roman" w:eastAsia="宋体" w:cs="Times New Roman"/>
                              <w:sz w:val="21"/>
                              <w:szCs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sdt>
                    <w:sdtPr>
                      <w:rPr>
                        <w:rFonts w:ascii="Times New Roman" w:hAnsi="Times New Roman" w:eastAsia="宋体" w:cs="Times New Roman"/>
                        <w:kern w:val="2"/>
                        <w:sz w:val="21"/>
                        <w:szCs w:val="22"/>
                        <w:lang w:val="en-US" w:eastAsia="zh-CN" w:bidi="ar-SA"/>
                      </w:rPr>
                      <w:id w:val="147453938"/>
                      <w:showingPlcHdr/>
                    </w:sdtPr>
                    <w:sdtEndPr>
                      <w:rPr>
                        <w:rFonts w:ascii="Times New Roman" w:hAnsi="Times New Roman" w:eastAsia="宋体" w:cs="Times New Roman"/>
                        <w:kern w:val="2"/>
                        <w:sz w:val="18"/>
                        <w:szCs w:val="18"/>
                        <w:lang w:val="en-US" w:eastAsia="zh-CN" w:bidi="ar-SA"/>
                      </w:rPr>
                    </w:sdtEndPr>
                    <w:sdtContent>
                      <w:p w14:paraId="2CAD7A1B">
                        <w:pPr>
                          <w:tabs>
                            <w:tab w:val="center" w:pos="4153"/>
                            <w:tab w:val="right" w:pos="8306"/>
                          </w:tabs>
                          <w:snapToGrid w:val="0"/>
                          <w:spacing w:after="120"/>
                          <w:ind w:firstLine="562" w:firstLineChars="0"/>
                          <w:jc w:val="center"/>
                          <w:rPr>
                            <w:rFonts w:ascii="Times New Roman" w:hAnsi="Times New Roman" w:eastAsia="宋体" w:cs="Times New Roman"/>
                            <w:sz w:val="18"/>
                            <w:szCs w:val="18"/>
                          </w:rPr>
                        </w:pPr>
                        <w:r>
                          <w:rPr>
                            <w:rFonts w:hint="eastAsia" w:ascii="Times New Roman" w:hAnsi="Times New Roman" w:eastAsia="宋体" w:cs="Times New Roman"/>
                            <w:sz w:val="21"/>
                            <w:szCs w:val="22"/>
                          </w:rPr>
                          <w:t xml:space="preserve">     </w:t>
                        </w:r>
                      </w:p>
                    </w:sdtContent>
                  </w:sdt>
                  <w:p w14:paraId="7A74DE17">
                    <w:pPr>
                      <w:ind w:firstLine="420" w:firstLineChars="200"/>
                      <w:rPr>
                        <w:rFonts w:ascii="Times New Roman" w:hAnsi="Times New Roman" w:eastAsia="宋体" w:cs="Times New Roman"/>
                        <w:sz w:val="21"/>
                        <w:szCs w:val="2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1DD0">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C2F4C">
    <w:pPr>
      <w:overflowPunct/>
      <w:topLinePunct w:val="0"/>
      <w:spacing w:line="240" w:lineRule="auto"/>
      <w:ind w:left="560" w:firstLine="0" w:firstLineChars="0"/>
      <w:rPr>
        <w:rFonts w:ascii="等线" w:hAnsi="等线" w:eastAsia="等线"/>
        <w:kern w:val="2"/>
        <w:sz w:val="21"/>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FC55BB"/>
    <w:rsid w:val="07BD69FF"/>
    <w:rsid w:val="169B05AE"/>
    <w:rsid w:val="211C0628"/>
    <w:rsid w:val="24FC55BB"/>
    <w:rsid w:val="35E33035"/>
    <w:rsid w:val="37F942E7"/>
    <w:rsid w:val="382617FE"/>
    <w:rsid w:val="4D9B19DE"/>
    <w:rsid w:val="4F785B01"/>
    <w:rsid w:val="561C2992"/>
    <w:rsid w:val="5B4F5ACA"/>
    <w:rsid w:val="61B76844"/>
    <w:rsid w:val="62265197"/>
    <w:rsid w:val="638B738B"/>
    <w:rsid w:val="674F751F"/>
    <w:rsid w:val="7096191F"/>
    <w:rsid w:val="7696739A"/>
    <w:rsid w:val="76DD7376"/>
    <w:rsid w:val="784D3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99"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仿宋_GB2312" w:cs="Times New Roman"/>
      <w:kern w:val="2"/>
      <w:sz w:val="28"/>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spacing w:line="240" w:lineRule="auto"/>
      <w:ind w:firstLine="0" w:firstLineChars="0"/>
    </w:pPr>
    <w:rPr>
      <w:rFonts w:ascii="Times New Roman" w:hAnsi="Times New Roman" w:eastAsia="宋体"/>
      <w:szCs w:val="20"/>
      <w:lang w:val="zh-CN"/>
    </w:rPr>
  </w:style>
  <w:style w:type="paragraph" w:styleId="3">
    <w:name w:val="Body Text"/>
    <w:basedOn w:val="1"/>
    <w:unhideWhenUsed/>
    <w:qFormat/>
    <w:uiPriority w:val="99"/>
    <w:pPr>
      <w:adjustRightInd w:val="0"/>
      <w:snapToGrid w:val="0"/>
      <w:spacing w:beforeLines="0" w:after="0"/>
      <w:ind w:firstLine="0" w:firstLineChars="0"/>
    </w:pPr>
    <w:rPr>
      <w:rFonts w:ascii="Times New Roman" w:hAnsi="Times New Roman"/>
    </w:rPr>
  </w:style>
  <w:style w:type="paragraph" w:styleId="4">
    <w:name w:val="footer"/>
    <w:basedOn w:val="1"/>
    <w:unhideWhenUsed/>
    <w:qFormat/>
    <w:uiPriority w:val="99"/>
    <w:pPr>
      <w:tabs>
        <w:tab w:val="center" w:pos="4153"/>
        <w:tab w:val="right" w:pos="8306"/>
      </w:tabs>
      <w:snapToGrid w:val="0"/>
      <w:jc w:val="left"/>
    </w:pPr>
    <w:rPr>
      <w:rFonts w:eastAsia="宋体"/>
      <w:sz w:val="18"/>
      <w:szCs w:val="18"/>
    </w:rPr>
  </w:style>
  <w:style w:type="paragraph" w:styleId="5">
    <w:name w:val="header"/>
    <w:basedOn w:val="1"/>
    <w:semiHidden/>
    <w:unhideWhenUsed/>
    <w:qFormat/>
    <w:uiPriority w:val="99"/>
    <w:pPr>
      <w:pBdr>
        <w:bottom w:val="single" w:color="auto" w:sz="6" w:space="1"/>
      </w:pBdr>
      <w:tabs>
        <w:tab w:val="center" w:pos="4153"/>
        <w:tab w:val="right" w:pos="8306"/>
      </w:tabs>
      <w:snapToGrid w:val="0"/>
      <w:jc w:val="center"/>
    </w:pPr>
    <w:rPr>
      <w:rFonts w:eastAsia="宋体"/>
      <w:sz w:val="18"/>
      <w:szCs w:val="18"/>
    </w:rPr>
  </w:style>
  <w:style w:type="paragraph" w:styleId="6">
    <w:name w:val="toc 1"/>
    <w:basedOn w:val="1"/>
    <w:next w:val="1"/>
    <w:semiHidden/>
    <w:unhideWhenUsed/>
    <w:qFormat/>
    <w:uiPriority w:val="39"/>
  </w:style>
  <w:style w:type="paragraph" w:styleId="7">
    <w:name w:val="Body Text First Indent"/>
    <w:basedOn w:val="3"/>
    <w:qFormat/>
    <w:uiPriority w:val="0"/>
    <w:pPr>
      <w:spacing w:after="160"/>
      <w:ind w:firstLine="420" w:firstLineChars="1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Date1"/>
    <w:basedOn w:val="1"/>
    <w:next w:val="1"/>
    <w:qFormat/>
    <w:uiPriority w:val="0"/>
    <w:pPr>
      <w:ind w:left="2500" w:leftChars="2500"/>
    </w:pPr>
    <w:rPr>
      <w:sz w:val="32"/>
      <w:szCs w:val="32"/>
    </w:rPr>
  </w:style>
  <w:style w:type="paragraph" w:customStyle="1" w:styleId="12">
    <w:name w:val="Table Paragraph"/>
    <w:basedOn w:val="1"/>
    <w:qFormat/>
    <w:uiPriority w:val="1"/>
    <w:rPr>
      <w:rFonts w:ascii="仿宋" w:hAnsi="仿宋" w:cs="仿宋"/>
      <w:sz w:val="30"/>
      <w:szCs w:val="22"/>
      <w:lang w:val="zh-CN" w:bidi="zh-CN"/>
    </w:rPr>
  </w:style>
  <w:style w:type="paragraph" w:customStyle="1" w:styleId="13">
    <w:name w:val="Default"/>
    <w:basedOn w:val="14"/>
    <w:qFormat/>
    <w:uiPriority w:val="0"/>
    <w:pPr>
      <w:widowControl w:val="0"/>
      <w:autoSpaceDE w:val="0"/>
      <w:autoSpaceDN w:val="0"/>
      <w:adjustRightInd w:val="0"/>
    </w:pPr>
    <w:rPr>
      <w:rFonts w:ascii="仿宋_GB2312" w:hAnsi="仿宋_GB2312" w:cs="仿宋_GB2312" w:eastAsiaTheme="minorEastAsia"/>
      <w:color w:val="000000"/>
    </w:rPr>
  </w:style>
  <w:style w:type="paragraph" w:customStyle="1" w:styleId="14">
    <w:name w:val="d表名"/>
    <w:next w:val="1"/>
    <w:qFormat/>
    <w:uiPriority w:val="0"/>
    <w:pPr>
      <w:spacing w:line="360" w:lineRule="auto"/>
      <w:jc w:val="center"/>
    </w:pPr>
    <w:rPr>
      <w:rFonts w:ascii="Times New Roman" w:hAnsi="Times New Roman" w:eastAsia="黑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938</Words>
  <Characters>1033</Characters>
  <Lines>0</Lines>
  <Paragraphs>0</Paragraphs>
  <TotalTime>45</TotalTime>
  <ScaleCrop>false</ScaleCrop>
  <LinksUpToDate>false</LinksUpToDate>
  <CharactersWithSpaces>1046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2025-05-30T07:28:00Z</dcterms:created>
  <dc:creator>…</dc:creator>
  <cp:lastModifiedBy>0°※夏</cp:lastModifiedBy>
  <dcterms:modified xsi:type="dcterms:W3CDTF">2025-09-04T07:42:33Z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BE3326EB12794194A1B51E841950766F_11</vt:lpwstr>
  </property>
  <property fmtid="{D5CDD505-2E9C-101B-9397-08002B2CF9AE}" pid="4" name="KSOTemplateDocerSaveRecord">
    <vt:lpwstr>eyJoZGlkIjoiMGIyNWZjYjZjODcyY2FjNTJlMjA5NjZmZTUyYTQxYjgiLCJ1c2VySWQiOiI0ODA3NjkzMTgifQ==</vt:lpwstr>
  </property>
</Properties>
</file>