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附件1：</w:t>
      </w:r>
    </w:p>
    <w:p>
      <w:pPr>
        <w:pStyle w:val="3"/>
        <w:numPr>
          <w:ilvl w:val="0"/>
          <w:numId w:val="0"/>
        </w:numPr>
        <w:jc w:val="center"/>
        <w:rPr>
          <w:rFonts w:hint="default" w:ascii="宋体" w:hAnsi="宋体" w:cs="宋体"/>
          <w:b w:val="0"/>
          <w:bCs w:val="0"/>
          <w:color w:val="000000"/>
          <w:kern w:val="2"/>
          <w:sz w:val="24"/>
          <w:szCs w:val="24"/>
          <w:lang w:val="en-US" w:eastAsia="zh-CN" w:bidi="ar-SA"/>
        </w:rPr>
      </w:pPr>
      <w:r>
        <w:rPr>
          <w:rStyle w:val="23"/>
          <w:rFonts w:hint="eastAsia" w:ascii="宋体" w:hAnsi="宋体" w:eastAsia="宋体" w:cs="宋体"/>
          <w:b/>
          <w:bCs/>
          <w:color w:val="auto"/>
          <w:kern w:val="2"/>
          <w:sz w:val="36"/>
          <w:szCs w:val="36"/>
          <w:highlight w:val="none"/>
          <w:lang w:val="en-US" w:eastAsia="zh-CN" w:bidi="ar-SA"/>
        </w:rPr>
        <w:t>保亭县人民医院</w:t>
      </w:r>
      <w:r>
        <w:rPr>
          <w:rStyle w:val="23"/>
          <w:rFonts w:hint="eastAsia" w:ascii="宋体" w:hAnsi="宋体" w:eastAsia="宋体" w:cs="宋体"/>
          <w:color w:val="auto"/>
          <w:kern w:val="2"/>
          <w:sz w:val="36"/>
          <w:szCs w:val="36"/>
          <w:highlight w:val="none"/>
          <w:u w:val="none"/>
          <w:lang w:val="en-US" w:eastAsia="zh-CN" w:bidi="ar-SA"/>
        </w:rPr>
        <w:t>病房热水器一批采购项目</w:t>
      </w:r>
      <w:r>
        <w:rPr>
          <w:rFonts w:hint="eastAsia" w:ascii="宋体" w:hAnsi="宋体" w:eastAsia="宋体" w:cs="宋体"/>
          <w:b/>
          <w:bCs/>
          <w:i w:val="0"/>
          <w:iCs w:val="0"/>
          <w:color w:val="000000"/>
          <w:kern w:val="0"/>
          <w:sz w:val="36"/>
          <w:szCs w:val="36"/>
          <w:u w:val="none"/>
          <w:lang w:val="en-US" w:eastAsia="zh-CN" w:bidi="ar"/>
        </w:rPr>
        <w:t>报价清单</w:t>
      </w:r>
    </w:p>
    <w:tbl>
      <w:tblPr>
        <w:tblStyle w:val="9"/>
        <w:tblW w:w="95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47"/>
        <w:gridCol w:w="783"/>
        <w:gridCol w:w="917"/>
        <w:gridCol w:w="1900"/>
        <w:gridCol w:w="3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项目名称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数量</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热水器饮水机</w:t>
            </w:r>
            <w:r>
              <w:rPr>
                <w:rFonts w:hint="eastAsia" w:ascii="仿宋" w:hAnsi="仿宋" w:eastAsia="仿宋" w:cs="仿宋"/>
                <w:b w:val="0"/>
                <w:bCs w:val="0"/>
                <w:i w:val="0"/>
                <w:iCs w:val="0"/>
                <w:color w:val="000000"/>
                <w:kern w:val="0"/>
                <w:sz w:val="28"/>
                <w:szCs w:val="28"/>
                <w:u w:val="none"/>
                <w:lang w:val="en-US" w:eastAsia="zh-CN" w:bidi="ar"/>
              </w:rPr>
              <w:t>（</w:t>
            </w:r>
            <w:r>
              <w:rPr>
                <w:rFonts w:hint="eastAsia" w:ascii="仿宋" w:hAnsi="仿宋" w:eastAsia="仿宋" w:cs="仿宋"/>
                <w:b w:val="0"/>
                <w:bCs w:val="0"/>
                <w:sz w:val="28"/>
                <w:szCs w:val="28"/>
                <w:lang w:val="en-US" w:eastAsia="zh-CN"/>
              </w:rPr>
              <w:t>双龙头速热柔流温饮机</w:t>
            </w:r>
            <w:r>
              <w:rPr>
                <w:rFonts w:hint="eastAsia" w:ascii="仿宋" w:hAnsi="仿宋" w:eastAsia="仿宋" w:cs="仿宋"/>
                <w:b w:val="0"/>
                <w:bCs w:val="0"/>
                <w:i w:val="0"/>
                <w:iCs w:val="0"/>
                <w:color w:val="000000"/>
                <w:kern w:val="0"/>
                <w:sz w:val="28"/>
                <w:szCs w:val="2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产品应符合国家产品质量标准，符合技术参数要求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95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val="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合计金额：</w:t>
            </w:r>
            <w:r>
              <w:rPr>
                <w:rFonts w:hint="eastAsia" w:ascii="仿宋" w:hAnsi="仿宋" w:eastAsia="仿宋" w:cs="仿宋"/>
                <w:i w:val="0"/>
                <w:iCs w:val="0"/>
                <w:color w:val="000000"/>
                <w:sz w:val="28"/>
                <w:szCs w:val="28"/>
                <w:u w:val="none"/>
                <w:lang w:val="en-US" w:eastAsia="zh-CN"/>
              </w:rPr>
              <w:t>大写：                    元整</w:t>
            </w:r>
            <w:r>
              <w:rPr>
                <w:rFonts w:hint="eastAsia" w:ascii="仿宋" w:hAnsi="仿宋" w:eastAsia="仿宋" w:cs="仿宋"/>
                <w:i w:val="0"/>
                <w:iCs w:val="0"/>
                <w:color w:val="000000"/>
                <w:kern w:val="0"/>
                <w:sz w:val="28"/>
                <w:szCs w:val="28"/>
                <w:u w:val="none"/>
                <w:lang w:val="en-US" w:eastAsia="zh-CN" w:bidi="ar"/>
              </w:rPr>
              <w:t xml:space="preserve"> ，（小写）            元</w:t>
            </w:r>
          </w:p>
        </w:tc>
      </w:tr>
    </w:tbl>
    <w:p>
      <w:pP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sz w:val="28"/>
          <w:szCs w:val="28"/>
          <w:lang w:val="en-US" w:eastAsia="zh-CN"/>
        </w:rPr>
        <w:t>以上报价含税、含人工运输费、安装费等包含施工过程中可能产生的其他费用。报价</w:t>
      </w:r>
      <w:r>
        <w:rPr>
          <w:rFonts w:hint="eastAsia" w:ascii="仿宋" w:hAnsi="仿宋" w:eastAsia="仿宋" w:cs="仿宋"/>
          <w:i w:val="0"/>
          <w:iCs w:val="0"/>
          <w:color w:val="000000"/>
          <w:kern w:val="0"/>
          <w:sz w:val="28"/>
          <w:szCs w:val="28"/>
          <w:u w:val="none"/>
          <w:lang w:val="en-US" w:eastAsia="zh-CN" w:bidi="ar"/>
        </w:rPr>
        <w:t>产品须符合国家产品质量标准，符合技术参数要求，部分技术参数及要求有偏离值的需列出说明（标注星号三角号的参数将做为重要参数）。</w:t>
      </w:r>
      <w:r>
        <w:rPr>
          <w:rFonts w:hint="eastAsia" w:ascii="仿宋" w:hAnsi="仿宋" w:eastAsia="仿宋" w:cs="仿宋"/>
          <w:b/>
          <w:bCs/>
          <w:i w:val="0"/>
          <w:iCs w:val="0"/>
          <w:color w:val="000000"/>
          <w:kern w:val="0"/>
          <w:sz w:val="28"/>
          <w:szCs w:val="28"/>
          <w:u w:val="none"/>
          <w:lang w:val="en-US" w:eastAsia="zh-CN" w:bidi="ar"/>
        </w:rPr>
        <w:t>须提供如下证明材料（未提供或</w:t>
      </w:r>
      <w:r>
        <w:rPr>
          <w:rFonts w:hint="eastAsia" w:ascii="仿宋" w:hAnsi="仿宋" w:eastAsia="仿宋" w:cs="仿宋"/>
          <w:b/>
          <w:bCs/>
          <w:i w:val="0"/>
          <w:iCs w:val="0"/>
          <w:color w:val="000000"/>
          <w:kern w:val="0"/>
          <w:sz w:val="28"/>
          <w:szCs w:val="28"/>
          <w:u w:val="none"/>
          <w:lang w:val="en-US" w:eastAsia="zh-CN" w:bidi="ar"/>
        </w:rPr>
        <w:t>提供不完整</w:t>
      </w:r>
      <w:r>
        <w:rPr>
          <w:rFonts w:hint="eastAsia" w:ascii="仿宋" w:hAnsi="仿宋" w:eastAsia="仿宋" w:cs="仿宋"/>
          <w:b/>
          <w:bCs/>
          <w:i w:val="0"/>
          <w:iCs w:val="0"/>
          <w:color w:val="000000"/>
          <w:kern w:val="0"/>
          <w:sz w:val="28"/>
          <w:szCs w:val="28"/>
          <w:u w:val="none"/>
          <w:lang w:val="en-US" w:eastAsia="zh-CN" w:bidi="ar"/>
        </w:rPr>
        <w:t>视为无效投标报价）：</w:t>
      </w:r>
    </w:p>
    <w:p>
      <w:pP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1.产品</w:t>
      </w:r>
      <w:r>
        <w:rPr>
          <w:rFonts w:hint="eastAsia" w:ascii="仿宋" w:hAnsi="仿宋" w:eastAsia="仿宋" w:cs="仿宋"/>
          <w:b/>
          <w:bCs/>
          <w:i w:val="0"/>
          <w:iCs w:val="0"/>
          <w:color w:val="000000"/>
          <w:kern w:val="0"/>
          <w:sz w:val="28"/>
          <w:szCs w:val="28"/>
          <w:u w:val="none"/>
          <w:lang w:val="en-US" w:eastAsia="zh-CN" w:bidi="ar"/>
        </w:rPr>
        <w:t>质量</w:t>
      </w:r>
      <w:r>
        <w:rPr>
          <w:rFonts w:hint="eastAsia" w:ascii="仿宋" w:hAnsi="仿宋" w:eastAsia="仿宋" w:cs="仿宋"/>
          <w:b/>
          <w:bCs/>
          <w:i w:val="0"/>
          <w:iCs w:val="0"/>
          <w:color w:val="000000"/>
          <w:kern w:val="0"/>
          <w:sz w:val="28"/>
          <w:szCs w:val="28"/>
          <w:u w:val="none"/>
          <w:lang w:val="en-US" w:eastAsia="zh-CN" w:bidi="ar"/>
        </w:rPr>
        <w:t>（</w:t>
      </w:r>
      <w:r>
        <w:rPr>
          <w:rFonts w:hint="eastAsia" w:ascii="仿宋" w:hAnsi="仿宋" w:eastAsia="仿宋" w:cs="仿宋"/>
          <w:b/>
          <w:bCs/>
          <w:i w:val="0"/>
          <w:iCs w:val="0"/>
          <w:color w:val="000000"/>
          <w:kern w:val="0"/>
          <w:sz w:val="28"/>
          <w:szCs w:val="28"/>
          <w:u w:val="none"/>
          <w:lang w:val="en-US" w:eastAsia="zh-CN" w:bidi="ar"/>
        </w:rPr>
        <w:t>整机</w:t>
      </w:r>
      <w:r>
        <w:rPr>
          <w:rFonts w:hint="eastAsia" w:ascii="仿宋" w:hAnsi="仿宋" w:eastAsia="仿宋" w:cs="仿宋"/>
          <w:b/>
          <w:bCs/>
          <w:i w:val="0"/>
          <w:iCs w:val="0"/>
          <w:color w:val="000000"/>
          <w:kern w:val="0"/>
          <w:sz w:val="28"/>
          <w:szCs w:val="28"/>
          <w:u w:val="none"/>
          <w:lang w:val="en-US" w:eastAsia="zh-CN" w:bidi="ar"/>
        </w:rPr>
        <w:t>）合格证书</w:t>
      </w:r>
      <w:bookmarkStart w:id="0" w:name="_GoBack"/>
      <w:bookmarkEnd w:id="0"/>
    </w:p>
    <w:p>
      <w:pP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2.产品整机涉及饮用水卫生安全产品卫生许可批件</w:t>
      </w:r>
    </w:p>
    <w:p>
      <w:pP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3.全国工业产品生产许可证</w:t>
      </w:r>
    </w:p>
    <w:p>
      <w:pP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4.质量管理体系认证证书</w:t>
      </w:r>
    </w:p>
    <w:p>
      <w:pP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5.环境管理体系认证证书</w:t>
      </w:r>
    </w:p>
    <w:p>
      <w:pP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6.食品接触产品安全认证证书</w:t>
      </w:r>
    </w:p>
    <w:p>
      <w:pPr>
        <w:spacing w:line="240" w:lineRule="auto"/>
        <w:rPr>
          <w:rFonts w:hint="eastAsia" w:ascii="仿宋" w:hAnsi="仿宋" w:eastAsia="仿宋" w:cs="仿宋"/>
          <w:b w:val="0"/>
          <w:bCs/>
          <w:sz w:val="28"/>
          <w:szCs w:val="28"/>
          <w:lang w:val="en-US" w:eastAsia="zh-CN"/>
        </w:rPr>
      </w:pP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报价单位：               （盖章）                                </w:t>
      </w: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联 系 人：                   电    话：          </w:t>
      </w: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身份证号：                   日    期：2024年6月    日    </w:t>
      </w: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技</w:t>
      </w:r>
      <w:r>
        <w:rPr>
          <w:rFonts w:hint="eastAsia" w:ascii="宋体" w:hAnsi="宋体" w:eastAsia="宋体" w:cs="宋体"/>
          <w:b/>
          <w:bCs/>
          <w:sz w:val="28"/>
          <w:szCs w:val="28"/>
          <w:lang w:eastAsia="zh-CN"/>
        </w:rPr>
        <w:t>术参数及要求</w:t>
      </w:r>
    </w:p>
    <w:tbl>
      <w:tblPr>
        <w:tblStyle w:val="10"/>
        <w:tblW w:w="956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货物</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rPr>
              <w:t>名称</w:t>
            </w:r>
          </w:p>
        </w:tc>
        <w:tc>
          <w:tcPr>
            <w:tcW w:w="86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0"/>
                <w:sz w:val="28"/>
                <w:szCs w:val="28"/>
                <w:highlight w:val="none"/>
              </w:rPr>
              <w:t>技术</w:t>
            </w:r>
            <w:r>
              <w:rPr>
                <w:rFonts w:hint="eastAsia" w:ascii="仿宋" w:hAnsi="仿宋" w:eastAsia="仿宋" w:cs="仿宋"/>
                <w:b/>
                <w:bCs/>
                <w:color w:val="auto"/>
                <w:kern w:val="0"/>
                <w:sz w:val="28"/>
                <w:szCs w:val="28"/>
                <w:highlight w:val="none"/>
                <w:lang w:eastAsia="zh-CN"/>
              </w:rPr>
              <w:t>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sz w:val="28"/>
                <w:szCs w:val="28"/>
                <w:lang w:val="en-US" w:eastAsia="zh-CN"/>
              </w:rPr>
              <w:t>双龙头速热柔流温饮机</w:t>
            </w:r>
          </w:p>
        </w:tc>
        <w:tc>
          <w:tcPr>
            <w:tcW w:w="8670" w:type="dxa"/>
            <w:vAlign w:val="center"/>
          </w:tcPr>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sz w:val="28"/>
                <w:szCs w:val="28"/>
              </w:rPr>
              <w:t>★</w:t>
            </w:r>
            <w:r>
              <w:rPr>
                <w:rFonts w:hint="eastAsia" w:ascii="仿宋" w:hAnsi="仿宋" w:eastAsia="仿宋" w:cs="仿宋"/>
                <w:color w:val="auto"/>
                <w:kern w:val="2"/>
                <w:sz w:val="28"/>
                <w:szCs w:val="28"/>
                <w:highlight w:val="none"/>
                <w:lang w:val="en-US" w:eastAsia="zh-CN" w:bidi="ar"/>
              </w:rPr>
              <w:t>内胆总容量≥22L（</w:t>
            </w:r>
            <w:r>
              <w:rPr>
                <w:rFonts w:hint="eastAsia" w:ascii="仿宋" w:hAnsi="仿宋" w:eastAsia="仿宋" w:cs="仿宋"/>
                <w:color w:val="auto"/>
                <w:sz w:val="28"/>
                <w:szCs w:val="28"/>
              </w:rPr>
              <w:t>加热内胆≥</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L，无菌温水箱≥</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L</w:t>
            </w:r>
            <w:r>
              <w:rPr>
                <w:rFonts w:hint="eastAsia" w:ascii="仿宋" w:hAnsi="仿宋" w:eastAsia="仿宋" w:cs="仿宋"/>
                <w:color w:val="auto"/>
                <w:kern w:val="2"/>
                <w:sz w:val="28"/>
                <w:szCs w:val="28"/>
                <w:highlight w:val="none"/>
                <w:lang w:val="en-US" w:eastAsia="zh-CN" w:bidi="ar"/>
              </w:rPr>
              <w:t>）；</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开水供水量≥20L/H，温开水供水量≥50L/H；</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一开水一温开水，触摸式按键控制取水（开水具有童锁二合一功能）；</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外型尺寸：长*宽*高=600mm*470mm*1400mm（±10mm）。</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▲额定电压：220V-50Hz，功率2000W（±500W），提供投标产品型号、电源、功率一致的CQC认证证书复印件</w:t>
            </w:r>
            <w:r>
              <w:rPr>
                <w:rFonts w:hint="eastAsia" w:ascii="仿宋" w:hAnsi="仿宋" w:eastAsia="仿宋" w:cs="仿宋"/>
                <w:color w:val="auto"/>
                <w:sz w:val="28"/>
                <w:szCs w:val="28"/>
                <w:lang w:val="en-US" w:eastAsia="zh-CN"/>
              </w:rPr>
              <w:t>予以证明</w:t>
            </w:r>
            <w:r>
              <w:rPr>
                <w:rFonts w:hint="eastAsia" w:ascii="仿宋" w:hAnsi="仿宋" w:eastAsia="仿宋" w:cs="仿宋"/>
                <w:color w:val="auto"/>
                <w:kern w:val="2"/>
                <w:sz w:val="28"/>
                <w:szCs w:val="28"/>
                <w:highlight w:val="none"/>
                <w:lang w:val="en-US" w:eastAsia="zh-CN" w:bidi="ar"/>
              </w:rPr>
              <w:t>，并提供全国认证认可信息公共服务平台查询截图；</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w:t>
            </w:r>
            <w:r>
              <w:rPr>
                <w:rFonts w:hint="eastAsia" w:ascii="仿宋" w:hAnsi="仿宋" w:eastAsia="仿宋" w:cs="仿宋"/>
                <w:b w:val="0"/>
                <w:bCs w:val="0"/>
                <w:color w:val="auto"/>
                <w:kern w:val="0"/>
                <w:sz w:val="28"/>
                <w:szCs w:val="28"/>
                <w:highlight w:val="none"/>
                <w:lang w:val="en-US" w:eastAsia="zh-CN" w:bidi="ar-SA"/>
              </w:rPr>
              <w:t>箱体：箱体不锈钢材质，面板、门板不锈钢黑钛板或</w:t>
            </w:r>
            <w:r>
              <w:rPr>
                <w:rFonts w:hint="eastAsia" w:ascii="仿宋" w:hAnsi="仿宋" w:eastAsia="仿宋" w:cs="仿宋"/>
                <w:b w:val="0"/>
                <w:bCs w:val="0"/>
                <w:color w:val="auto"/>
                <w:kern w:val="0"/>
                <w:sz w:val="28"/>
                <w:szCs w:val="28"/>
                <w:lang w:val="en-US" w:eastAsia="zh-CN" w:bidi="ar-SA"/>
              </w:rPr>
              <w:t>防指纹板；</w:t>
            </w:r>
            <w:r>
              <w:rPr>
                <w:rFonts w:hint="eastAsia" w:ascii="仿宋" w:hAnsi="仿宋" w:eastAsia="仿宋" w:cs="仿宋"/>
                <w:b w:val="0"/>
                <w:bCs w:val="0"/>
                <w:color w:val="auto"/>
                <w:kern w:val="0"/>
                <w:sz w:val="28"/>
                <w:szCs w:val="28"/>
                <w:highlight w:val="none"/>
                <w:lang w:val="en-US" w:eastAsia="zh-CN" w:bidi="ar-SA"/>
              </w:rPr>
              <w:t>箱体外观转角为圆弧设计、无棱边和尖角，以防撞伤</w:t>
            </w:r>
            <w:r>
              <w:rPr>
                <w:rFonts w:hint="eastAsia" w:ascii="仿宋" w:hAnsi="仿宋" w:eastAsia="仿宋" w:cs="仿宋"/>
                <w:color w:val="auto"/>
                <w:kern w:val="2"/>
                <w:sz w:val="28"/>
                <w:szCs w:val="28"/>
                <w:highlight w:val="none"/>
                <w:lang w:val="en-US" w:eastAsia="zh-CN" w:bidi="ar"/>
              </w:rPr>
              <w:t>；水槽304#不锈钢；内胆材质釆用食品级304#不锈钢，提供投标产品内胆对应品牌对应容量的内胆食品接触产品安全认证证书复印件及全国认证认可信息公共服务平台查询编号一致的官网含有网址截图（申请人为投标产品制造商）；</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所投产品具有防溅板，</w:t>
            </w:r>
            <w:r>
              <w:rPr>
                <w:rFonts w:hint="eastAsia" w:ascii="仿宋" w:hAnsi="仿宋" w:eastAsia="仿宋" w:cs="仿宋"/>
                <w:color w:val="auto"/>
                <w:sz w:val="28"/>
                <w:szCs w:val="28"/>
                <w:lang w:val="en-US" w:eastAsia="zh-CN"/>
              </w:rPr>
              <w:t>提供投标产品制造商获得国家质检、科技或知识产权部门颁发的证明文件复印件予以证明，并提供相应网站含网址查询截图</w:t>
            </w:r>
            <w:r>
              <w:rPr>
                <w:rFonts w:hint="eastAsia" w:ascii="仿宋" w:hAnsi="仿宋" w:eastAsia="仿宋" w:cs="仿宋"/>
                <w:color w:val="auto"/>
                <w:kern w:val="2"/>
                <w:sz w:val="28"/>
                <w:szCs w:val="28"/>
                <w:highlight w:val="none"/>
                <w:lang w:val="en-US" w:eastAsia="zh-CN" w:bidi="ar"/>
              </w:rPr>
              <w:t>；</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过滤配置：三级或以上（PP棉+碳棒滤芯+颗粒活性炭），净水流量≥8L/min，额定净水总量≥10m³，提供所投产品对应型号一致的整机涉及饮用水卫生安全产品卫生许可批件含附件复印件佐证（申请单位与实际生产企业需一致）</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▲提供PP棉滤芯、滤壳具有带有CMA、CNAS标志的红外、差热、热重的检测报告复印件及全国认证认可信息公共服务平台查询对应检测报告编号一致的官网含有网址截图（申请人为所投产品制造商）；</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color w:val="auto"/>
                <w:kern w:val="2"/>
                <w:sz w:val="28"/>
                <w:szCs w:val="28"/>
                <w:highlight w:val="none"/>
                <w:lang w:val="en-US" w:eastAsia="zh-CN" w:bidi="ar"/>
              </w:rPr>
              <w:t>加热技术：采用步进式加热技术，</w:t>
            </w:r>
            <w:r>
              <w:rPr>
                <w:rFonts w:hint="eastAsia" w:ascii="仿宋" w:hAnsi="仿宋" w:eastAsia="仿宋" w:cs="仿宋"/>
                <w:color w:val="auto"/>
                <w:sz w:val="28"/>
                <w:szCs w:val="28"/>
                <w:lang w:val="en-US" w:eastAsia="zh-CN"/>
              </w:rPr>
              <w:t>提供投标产品制造商获得国家质检、科技或知识产权部门颁发的证明文件复印件予以证明，并提供相应网站含网址查询截图</w:t>
            </w:r>
            <w:r>
              <w:rPr>
                <w:rFonts w:hint="eastAsia" w:ascii="仿宋" w:hAnsi="仿宋" w:eastAsia="仿宋" w:cs="仿宋"/>
                <w:color w:val="auto"/>
                <w:kern w:val="2"/>
                <w:sz w:val="28"/>
                <w:szCs w:val="28"/>
                <w:highlight w:val="none"/>
                <w:lang w:val="en-US" w:eastAsia="zh-CN" w:bidi="ar"/>
              </w:rPr>
              <w:t>；</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加热内胆采用冷、热水胆水平并排结构，冷水胆与加热胆分离，防止冷热水混合；蒸汽管道从冷水胆中穿过，回收蒸汽热能使冷水升温，达到节能效果，提供权威部门出具的技术证明文件或具有CMA、CNAS标识的检测报告复印件；</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▲所投产品</w:t>
            </w:r>
            <w:r>
              <w:rPr>
                <w:rFonts w:hint="eastAsia" w:ascii="仿宋" w:hAnsi="仿宋" w:eastAsia="仿宋" w:cs="仿宋"/>
                <w:color w:val="auto"/>
                <w:sz w:val="28"/>
                <w:szCs w:val="28"/>
                <w:lang w:eastAsia="zh-CN"/>
              </w:rPr>
              <w:t>温开水无菌</w:t>
            </w:r>
            <w:r>
              <w:rPr>
                <w:rFonts w:hint="eastAsia" w:ascii="仿宋" w:hAnsi="仿宋" w:eastAsia="仿宋" w:cs="仿宋"/>
                <w:color w:val="auto"/>
                <w:sz w:val="28"/>
                <w:szCs w:val="28"/>
              </w:rPr>
              <w:t>恒温恒流，</w:t>
            </w:r>
            <w:r>
              <w:rPr>
                <w:rFonts w:hint="eastAsia" w:ascii="仿宋" w:hAnsi="仿宋" w:eastAsia="仿宋" w:cs="仿宋"/>
                <w:color w:val="auto"/>
                <w:sz w:val="28"/>
                <w:szCs w:val="28"/>
                <w:lang w:val="en-US" w:eastAsia="zh-CN"/>
              </w:rPr>
              <w:t>提供投标产品制造商获得国家质检、科技或知识产权部门颁发的证明文件复印件予以证明，并提供相应网站含网址查询截图</w:t>
            </w:r>
            <w:r>
              <w:rPr>
                <w:rFonts w:hint="eastAsia" w:ascii="仿宋" w:hAnsi="仿宋" w:eastAsia="仿宋" w:cs="仿宋"/>
                <w:color w:val="auto"/>
                <w:kern w:val="2"/>
                <w:sz w:val="28"/>
                <w:szCs w:val="28"/>
                <w:highlight w:val="none"/>
                <w:lang w:val="en-US" w:eastAsia="zh-CN" w:bidi="ar"/>
              </w:rPr>
              <w:t>；</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温开水制水原理采用物理热交换技术</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热交换器内管、外管均为304不锈钢波纹管，</w:t>
            </w:r>
            <w:r>
              <w:rPr>
                <w:rFonts w:hint="eastAsia" w:ascii="仿宋" w:hAnsi="仿宋" w:eastAsia="仿宋" w:cs="仿宋"/>
                <w:color w:val="auto"/>
                <w:sz w:val="28"/>
                <w:szCs w:val="28"/>
                <w:lang w:eastAsia="zh-CN"/>
              </w:rPr>
              <w:t>温开水</w:t>
            </w:r>
            <w:r>
              <w:rPr>
                <w:rFonts w:hint="eastAsia" w:ascii="仿宋" w:hAnsi="仿宋" w:eastAsia="仿宋" w:cs="仿宋"/>
                <w:color w:val="auto"/>
                <w:sz w:val="28"/>
                <w:szCs w:val="28"/>
              </w:rPr>
              <w:t>温度不受季节性气温变化而进行人工水温调节，龙头</w:t>
            </w:r>
            <w:r>
              <w:rPr>
                <w:rFonts w:hint="eastAsia" w:ascii="仿宋" w:hAnsi="仿宋" w:eastAsia="仿宋" w:cs="仿宋"/>
                <w:color w:val="auto"/>
                <w:sz w:val="28"/>
                <w:szCs w:val="28"/>
                <w:lang w:eastAsia="zh-CN"/>
              </w:rPr>
              <w:t>负压</w:t>
            </w:r>
            <w:r>
              <w:rPr>
                <w:rFonts w:hint="eastAsia" w:ascii="仿宋" w:hAnsi="仿宋" w:eastAsia="仿宋" w:cs="仿宋"/>
                <w:color w:val="auto"/>
                <w:sz w:val="28"/>
                <w:szCs w:val="28"/>
              </w:rPr>
              <w:t>出水恒流柔和，出水压力小，开一个龙头与开多个龙头出水流速无差异、无波动，无喷水喷气现象</w:t>
            </w:r>
            <w:r>
              <w:rPr>
                <w:rFonts w:hint="eastAsia" w:ascii="仿宋" w:hAnsi="仿宋" w:eastAsia="仿宋" w:cs="仿宋"/>
                <w:color w:val="auto"/>
                <w:sz w:val="28"/>
                <w:szCs w:val="28"/>
                <w:lang w:eastAsia="zh-CN"/>
              </w:rPr>
              <w:t>；</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kern w:val="2"/>
                <w:sz w:val="28"/>
                <w:szCs w:val="28"/>
                <w:highlight w:val="none"/>
                <w:lang w:val="en-US" w:eastAsia="zh-CN" w:bidi="ar"/>
              </w:rPr>
              <w:t>▲所投产品具有电气盒，</w:t>
            </w:r>
            <w:r>
              <w:rPr>
                <w:rFonts w:hint="eastAsia" w:ascii="仿宋" w:hAnsi="仿宋" w:eastAsia="仿宋" w:cs="仿宋"/>
                <w:color w:val="auto"/>
                <w:sz w:val="28"/>
                <w:szCs w:val="28"/>
                <w:lang w:val="en-US" w:eastAsia="zh-CN"/>
              </w:rPr>
              <w:t>提供投标产品制造商获得国家质检、科技或知识产权部门颁发的证明文件复印件予以证明，并提供相应网站含网址查询截图</w:t>
            </w:r>
            <w:r>
              <w:rPr>
                <w:rFonts w:hint="eastAsia" w:ascii="仿宋" w:hAnsi="仿宋" w:eastAsia="仿宋" w:cs="仿宋"/>
                <w:color w:val="auto"/>
                <w:kern w:val="2"/>
                <w:sz w:val="28"/>
                <w:szCs w:val="28"/>
                <w:highlight w:val="none"/>
                <w:lang w:val="en-US" w:eastAsia="zh-CN" w:bidi="ar"/>
              </w:rPr>
              <w:t>；电气盒采用ABS材质一次注塑成型，外置嵌入式安装；控制电器原件集成安装，电路控制与涉水部件分离设计，以防漏水时导致漏电触电；</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color w:val="auto"/>
                <w:sz w:val="28"/>
                <w:szCs w:val="28"/>
                <w:lang w:val="en-US" w:eastAsia="zh-CN"/>
              </w:rPr>
              <w:t>釆用微电脑智能控制技术，带有时间调控功能，可根据用户或单位的作息时间定时开机和关机，且故障自动诊断并能显示相应的故障代码或文字提示，显示屏为5寸～6寸数码显示屏，可显示时间、星期、开水温度、滤芯使用情况、水位状态、可饮用状态、以及滤芯更换提醒等功能等，具有滤芯防伪识别功能，确保所用滤芯为原厂出厂滤芯，安装或更换滤芯时，可对滤芯进行防伪识别，保证饮用水安全健康（投标文件中提供显示屏全显示照片）；</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highlight w:val="none"/>
                <w:lang w:val="en-US" w:eastAsia="zh-CN"/>
              </w:rPr>
              <w:t>▲所投产品具有电源适配器部件装置，需提供产品制造商的电源适配器具有CMA、CNAS标识的输出电压≤24V、≤3.0A、判定检验通过项≥215项合格的检验报告，并提供在全国认可认证信息公共服务平台查询对应检测报告编号一致的官网含有网址截图；</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产品控制电路部分采用24V低压电源控制；防触电I类、防护等级IP44；</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lang w:val="en-US" w:eastAsia="zh-CN"/>
              </w:rPr>
              <w:t>内胆水位控制采用硅胶座电极控制，防止结水垢引起传送信号故障导致溢水；内胆顶部设有清洗口，口径≥100mm；底部设有排污口，口径≥12mm；</w:t>
            </w:r>
            <w:r>
              <w:rPr>
                <w:rFonts w:hint="eastAsia" w:ascii="仿宋" w:hAnsi="仿宋" w:eastAsia="仿宋" w:cs="仿宋"/>
                <w:b w:val="0"/>
                <w:bCs w:val="0"/>
                <w:color w:val="auto"/>
                <w:sz w:val="28"/>
                <w:szCs w:val="28"/>
                <w:highlight w:val="none"/>
                <w:lang w:val="en-US" w:eastAsia="zh-CN"/>
              </w:rPr>
              <w:t>水槽排水漏斗及下水口连接管采用带钢丝的耐高温软管和螺纹锁接，排水管采用PP-R管，以防脱落，确保排水系统不变形、不漏水；</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PP棉滤芯、炭棒滤芯、颗粒活性炭滤芯、滤壳（滤筒）、发热管、内胆、波纹管、热交换器等核心涉水部件均符合国家卫生要求，提供涉及饮用水卫生安全产品卫生许可批件与所投产品品牌对应（如投标产品各级滤芯按国家相关规定已取消许可批件，无</w:t>
            </w:r>
            <w:r>
              <w:rPr>
                <w:rFonts w:hint="eastAsia" w:ascii="仿宋" w:hAnsi="仿宋" w:eastAsia="仿宋" w:cs="仿宋"/>
                <w:b w:val="0"/>
                <w:bCs w:val="0"/>
                <w:color w:val="auto"/>
                <w:sz w:val="28"/>
                <w:szCs w:val="28"/>
                <w:highlight w:val="none"/>
                <w:lang w:val="en-US" w:eastAsia="zh-CN"/>
              </w:rPr>
              <w:t>法提供《涉及饮用水卫生安全产品卫生许可批件》扫描件的，需提供相关主管部门关于取消该许可批件的证明材料。）</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360" w:lineRule="auto"/>
              <w:ind w:left="495" w:leftChars="0" w:hanging="495" w:hangingChars="177"/>
              <w:jc w:val="both"/>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val="0"/>
                <w:bCs w:val="0"/>
                <w:color w:val="auto"/>
                <w:sz w:val="28"/>
                <w:szCs w:val="28"/>
                <w:highlight w:val="none"/>
                <w:lang w:val="en-US" w:eastAsia="zh-CN"/>
              </w:rPr>
              <w:t>▲所投产品涉水部件内胆、波纹管、电磁阀、电极、进水接头、发热管、铜配件、热交换器、水槽、硅胶管、密封圈、滤壳等符合GB4806.7-2016、GB4806.9-2016、GB4806.11-2016提相关标准要求，提供部件检测报告复印件及全国认可</w:t>
            </w:r>
            <w:r>
              <w:rPr>
                <w:rFonts w:hint="eastAsia" w:ascii="仿宋" w:hAnsi="仿宋" w:eastAsia="仿宋" w:cs="仿宋"/>
                <w:b w:val="0"/>
                <w:bCs w:val="0"/>
                <w:color w:val="auto"/>
                <w:sz w:val="28"/>
                <w:szCs w:val="28"/>
                <w:highlight w:val="none"/>
                <w:lang w:val="en-US" w:eastAsia="zh-CN"/>
              </w:rPr>
              <w:t>认证信息公共服务平台查询对应检测报告编号一致的官网含有网址截图；</w:t>
            </w:r>
          </w:p>
        </w:tc>
      </w:tr>
    </w:tbl>
    <w:p>
      <w:pPr>
        <w:rPr>
          <w:rFonts w:hint="eastAsia"/>
          <w:lang w:val="en-US" w:eastAsia="zh-CN"/>
        </w:rPr>
      </w:pPr>
    </w:p>
    <w:sectPr>
      <w:pgSz w:w="11906" w:h="16838"/>
      <w:pgMar w:top="1440" w:right="1179" w:bottom="132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2A256"/>
    <w:multiLevelType w:val="singleLevel"/>
    <w:tmpl w:val="AC32A25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QyNzdlYWU5M2YyNzczNmRlZjFkNDVjZWMxNGQifQ=="/>
  </w:docVars>
  <w:rsids>
    <w:rsidRoot w:val="1ACA360D"/>
    <w:rsid w:val="007717C2"/>
    <w:rsid w:val="01431A4A"/>
    <w:rsid w:val="028E4732"/>
    <w:rsid w:val="02C92423"/>
    <w:rsid w:val="03265180"/>
    <w:rsid w:val="036D7252"/>
    <w:rsid w:val="03742054"/>
    <w:rsid w:val="04583A5F"/>
    <w:rsid w:val="04826D2E"/>
    <w:rsid w:val="0494259D"/>
    <w:rsid w:val="04BD7D66"/>
    <w:rsid w:val="05340028"/>
    <w:rsid w:val="055D1B3F"/>
    <w:rsid w:val="05AF01F7"/>
    <w:rsid w:val="05BA6F95"/>
    <w:rsid w:val="06053772"/>
    <w:rsid w:val="061E5687"/>
    <w:rsid w:val="07FD356E"/>
    <w:rsid w:val="08055CAB"/>
    <w:rsid w:val="091D2944"/>
    <w:rsid w:val="094B74DC"/>
    <w:rsid w:val="09E8472B"/>
    <w:rsid w:val="0AF81AF7"/>
    <w:rsid w:val="0BC53CE2"/>
    <w:rsid w:val="0C862286"/>
    <w:rsid w:val="0D166265"/>
    <w:rsid w:val="0D3C0F87"/>
    <w:rsid w:val="0D5D3E94"/>
    <w:rsid w:val="0E6A4ABA"/>
    <w:rsid w:val="0EE54565"/>
    <w:rsid w:val="0FED14FF"/>
    <w:rsid w:val="112260EC"/>
    <w:rsid w:val="126F08F1"/>
    <w:rsid w:val="13315BA7"/>
    <w:rsid w:val="13685340"/>
    <w:rsid w:val="139B5716"/>
    <w:rsid w:val="152754B3"/>
    <w:rsid w:val="158900E3"/>
    <w:rsid w:val="15E62031"/>
    <w:rsid w:val="164F4B0E"/>
    <w:rsid w:val="172609C6"/>
    <w:rsid w:val="17CC7129"/>
    <w:rsid w:val="180A4C18"/>
    <w:rsid w:val="18C33745"/>
    <w:rsid w:val="19120228"/>
    <w:rsid w:val="1A3E5162"/>
    <w:rsid w:val="1A7D3DC7"/>
    <w:rsid w:val="1ACA360D"/>
    <w:rsid w:val="1ADC0AEE"/>
    <w:rsid w:val="1B1A7868"/>
    <w:rsid w:val="1BD96714"/>
    <w:rsid w:val="1C890801"/>
    <w:rsid w:val="1CF77E61"/>
    <w:rsid w:val="1D2624F4"/>
    <w:rsid w:val="1EB100E4"/>
    <w:rsid w:val="1F004D2E"/>
    <w:rsid w:val="1F86727A"/>
    <w:rsid w:val="1FE53BC7"/>
    <w:rsid w:val="207E61A3"/>
    <w:rsid w:val="22B20386"/>
    <w:rsid w:val="22C5630B"/>
    <w:rsid w:val="23733FB9"/>
    <w:rsid w:val="23955CDE"/>
    <w:rsid w:val="23B92805"/>
    <w:rsid w:val="244B45EE"/>
    <w:rsid w:val="251946ED"/>
    <w:rsid w:val="253F4091"/>
    <w:rsid w:val="25BA5ED0"/>
    <w:rsid w:val="275B0A3D"/>
    <w:rsid w:val="28602A2B"/>
    <w:rsid w:val="28BA1D43"/>
    <w:rsid w:val="28E13773"/>
    <w:rsid w:val="29244625"/>
    <w:rsid w:val="294A1318"/>
    <w:rsid w:val="2B1C6CE5"/>
    <w:rsid w:val="2BDF043E"/>
    <w:rsid w:val="2C481FA2"/>
    <w:rsid w:val="2ED50E10"/>
    <w:rsid w:val="2F683E67"/>
    <w:rsid w:val="302C533B"/>
    <w:rsid w:val="31CF5C1D"/>
    <w:rsid w:val="31E4154A"/>
    <w:rsid w:val="31F041C4"/>
    <w:rsid w:val="323C1723"/>
    <w:rsid w:val="32543208"/>
    <w:rsid w:val="33B54E5D"/>
    <w:rsid w:val="33F22CD8"/>
    <w:rsid w:val="34A749EE"/>
    <w:rsid w:val="35A25C9B"/>
    <w:rsid w:val="35E5565D"/>
    <w:rsid w:val="36CE17DB"/>
    <w:rsid w:val="370D205E"/>
    <w:rsid w:val="37B4019C"/>
    <w:rsid w:val="37CA74F9"/>
    <w:rsid w:val="37CD3840"/>
    <w:rsid w:val="37F94635"/>
    <w:rsid w:val="383E473E"/>
    <w:rsid w:val="39405911"/>
    <w:rsid w:val="397D1296"/>
    <w:rsid w:val="39D52E80"/>
    <w:rsid w:val="3A840F61"/>
    <w:rsid w:val="3A856654"/>
    <w:rsid w:val="3B2B5D12"/>
    <w:rsid w:val="3B5D4EDB"/>
    <w:rsid w:val="3B702E61"/>
    <w:rsid w:val="3B914B85"/>
    <w:rsid w:val="3BE86E9B"/>
    <w:rsid w:val="3CCD6091"/>
    <w:rsid w:val="3D0D2931"/>
    <w:rsid w:val="3DF56C47"/>
    <w:rsid w:val="3E104487"/>
    <w:rsid w:val="3EA64DEB"/>
    <w:rsid w:val="3EE85404"/>
    <w:rsid w:val="3F8213B4"/>
    <w:rsid w:val="40552625"/>
    <w:rsid w:val="405D597D"/>
    <w:rsid w:val="4246496D"/>
    <w:rsid w:val="42902152"/>
    <w:rsid w:val="43413334"/>
    <w:rsid w:val="44A1408B"/>
    <w:rsid w:val="44DF49AB"/>
    <w:rsid w:val="452B604A"/>
    <w:rsid w:val="461070BE"/>
    <w:rsid w:val="474D04FA"/>
    <w:rsid w:val="47B02837"/>
    <w:rsid w:val="484E4B46"/>
    <w:rsid w:val="48CB5B7A"/>
    <w:rsid w:val="497418F4"/>
    <w:rsid w:val="49865F45"/>
    <w:rsid w:val="49A62143"/>
    <w:rsid w:val="4A203CA4"/>
    <w:rsid w:val="4ABA5EA6"/>
    <w:rsid w:val="4AC40AD3"/>
    <w:rsid w:val="4B313C8F"/>
    <w:rsid w:val="4B9B38DE"/>
    <w:rsid w:val="4CF11927"/>
    <w:rsid w:val="4DCD4142"/>
    <w:rsid w:val="4E6C4462"/>
    <w:rsid w:val="4E712D20"/>
    <w:rsid w:val="4FCB5FB2"/>
    <w:rsid w:val="500B0F52"/>
    <w:rsid w:val="50C03AEB"/>
    <w:rsid w:val="516E1798"/>
    <w:rsid w:val="51A67184"/>
    <w:rsid w:val="522D51B0"/>
    <w:rsid w:val="528F202D"/>
    <w:rsid w:val="52A25112"/>
    <w:rsid w:val="53D004E8"/>
    <w:rsid w:val="54A61249"/>
    <w:rsid w:val="54F621D1"/>
    <w:rsid w:val="55945546"/>
    <w:rsid w:val="55A75252"/>
    <w:rsid w:val="56C8194B"/>
    <w:rsid w:val="57911D3D"/>
    <w:rsid w:val="57FB18AC"/>
    <w:rsid w:val="586E02D0"/>
    <w:rsid w:val="594350C6"/>
    <w:rsid w:val="59527BF2"/>
    <w:rsid w:val="598853C1"/>
    <w:rsid w:val="5A4B6B1B"/>
    <w:rsid w:val="5ACC7530"/>
    <w:rsid w:val="5B242EC8"/>
    <w:rsid w:val="5BD858D1"/>
    <w:rsid w:val="5C6774D0"/>
    <w:rsid w:val="5CF54B1C"/>
    <w:rsid w:val="5D3F223B"/>
    <w:rsid w:val="5D4E06D0"/>
    <w:rsid w:val="5DEF58DB"/>
    <w:rsid w:val="5E2C4EC4"/>
    <w:rsid w:val="5E316028"/>
    <w:rsid w:val="5F155949"/>
    <w:rsid w:val="5FF4555F"/>
    <w:rsid w:val="5FFB4B3F"/>
    <w:rsid w:val="60B60A66"/>
    <w:rsid w:val="618172C6"/>
    <w:rsid w:val="61C77F4D"/>
    <w:rsid w:val="61ED04B8"/>
    <w:rsid w:val="626764BC"/>
    <w:rsid w:val="630A2F55"/>
    <w:rsid w:val="63E1229E"/>
    <w:rsid w:val="64D67BCE"/>
    <w:rsid w:val="64F8164D"/>
    <w:rsid w:val="651E4E2C"/>
    <w:rsid w:val="65551782"/>
    <w:rsid w:val="658729D1"/>
    <w:rsid w:val="65CC59A3"/>
    <w:rsid w:val="66466D22"/>
    <w:rsid w:val="67044388"/>
    <w:rsid w:val="675E0EE9"/>
    <w:rsid w:val="68A90DE3"/>
    <w:rsid w:val="692D1AE1"/>
    <w:rsid w:val="694F1A58"/>
    <w:rsid w:val="69A26810"/>
    <w:rsid w:val="6AA336F8"/>
    <w:rsid w:val="6AB159AD"/>
    <w:rsid w:val="6AE54422"/>
    <w:rsid w:val="6B5C220A"/>
    <w:rsid w:val="6BB65DBE"/>
    <w:rsid w:val="6C0B435C"/>
    <w:rsid w:val="6C4433CA"/>
    <w:rsid w:val="6C692E30"/>
    <w:rsid w:val="6EB32A89"/>
    <w:rsid w:val="6EC627BC"/>
    <w:rsid w:val="6EC66318"/>
    <w:rsid w:val="6F2F0361"/>
    <w:rsid w:val="6FEA24DA"/>
    <w:rsid w:val="71CE58C0"/>
    <w:rsid w:val="721C2EA3"/>
    <w:rsid w:val="738844E4"/>
    <w:rsid w:val="73A3131E"/>
    <w:rsid w:val="73FC458A"/>
    <w:rsid w:val="740C62FA"/>
    <w:rsid w:val="74566390"/>
    <w:rsid w:val="74D5034D"/>
    <w:rsid w:val="75E1612D"/>
    <w:rsid w:val="77B80B76"/>
    <w:rsid w:val="783224F8"/>
    <w:rsid w:val="7AB827A3"/>
    <w:rsid w:val="7AD1051F"/>
    <w:rsid w:val="7BAC2D3A"/>
    <w:rsid w:val="7BC65BA9"/>
    <w:rsid w:val="7C5238E1"/>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pPr>
      <w:widowControl/>
      <w:jc w:val="left"/>
    </w:pPr>
    <w:rPr>
      <w:rFonts w:ascii="Times New Roman" w:hAnsi="Times New Roman" w:eastAsia="宋体" w:cs="Times New Roman"/>
      <w:kern w:val="0"/>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autoRedefine/>
    <w:qFormat/>
    <w:uiPriority w:val="0"/>
    <w:pPr>
      <w:widowControl/>
      <w:spacing w:after="100" w:line="276" w:lineRule="auto"/>
      <w:ind w:left="220"/>
      <w:jc w:val="left"/>
    </w:pPr>
    <w:rPr>
      <w:rFonts w:ascii="Times New Roman" w:hAnsi="Times New Roman" w:eastAsia="宋体" w:cs="Times New Roman"/>
      <w:kern w:val="0"/>
      <w:sz w:val="22"/>
    </w:rPr>
  </w:style>
  <w:style w:type="paragraph" w:styleId="7">
    <w:name w:val="Normal (Web)"/>
    <w:basedOn w:val="1"/>
    <w:autoRedefine/>
    <w:qFormat/>
    <w:uiPriority w:val="0"/>
    <w:rPr>
      <w:sz w:val="24"/>
    </w:rPr>
  </w:style>
  <w:style w:type="paragraph" w:styleId="8">
    <w:name w:val="Body Text First Indent"/>
    <w:basedOn w:val="4"/>
    <w:qFormat/>
    <w:uiPriority w:val="0"/>
    <w:pPr>
      <w:spacing w:after="120" w:line="240" w:lineRule="auto"/>
      <w:ind w:firstLine="100" w:firstLineChars="100"/>
    </w:pPr>
    <w:rPr>
      <w:rFonts w:ascii="Verdana" w:hAnsi="Verdana"/>
      <w:sz w:val="21"/>
      <w:szCs w:val="21"/>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51"/>
    <w:basedOn w:val="11"/>
    <w:autoRedefine/>
    <w:qFormat/>
    <w:uiPriority w:val="0"/>
    <w:rPr>
      <w:rFonts w:hint="default" w:ascii="Times New Roman" w:hAnsi="Times New Roman" w:cs="Times New Roman"/>
      <w:color w:val="000000"/>
      <w:sz w:val="20"/>
      <w:szCs w:val="20"/>
      <w:u w:val="none"/>
    </w:rPr>
  </w:style>
  <w:style w:type="paragraph" w:customStyle="1" w:styleId="13">
    <w:name w:val="p0"/>
    <w:basedOn w:val="1"/>
    <w:autoRedefine/>
    <w:qFormat/>
    <w:uiPriority w:val="0"/>
    <w:rPr>
      <w:rFonts w:ascii="Times New Roman" w:hAnsi="Times New Roman" w:eastAsia="宋体" w:cs="Times New Roman"/>
      <w:szCs w:val="21"/>
    </w:rPr>
  </w:style>
  <w:style w:type="paragraph" w:customStyle="1" w:styleId="14">
    <w:name w:val="p16"/>
    <w:basedOn w:val="1"/>
    <w:autoRedefine/>
    <w:qFormat/>
    <w:uiPriority w:val="0"/>
    <w:rPr>
      <w:rFonts w:ascii="Times New Roman" w:hAnsi="Times New Roman" w:eastAsia="宋体" w:cs="Times New Roman"/>
      <w:szCs w:val="21"/>
    </w:rPr>
  </w:style>
  <w:style w:type="paragraph" w:customStyle="1" w:styleId="15">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6">
    <w:name w:val="Table Paragraph"/>
    <w:basedOn w:val="1"/>
    <w:autoRedefine/>
    <w:qFormat/>
    <w:uiPriority w:val="1"/>
    <w:pPr>
      <w:autoSpaceDE w:val="0"/>
      <w:autoSpaceDN w:val="0"/>
      <w:spacing w:line="284" w:lineRule="exact"/>
      <w:ind w:left="107"/>
      <w:jc w:val="left"/>
    </w:pPr>
    <w:rPr>
      <w:rFonts w:ascii="宋体" w:hAnsi="宋体" w:eastAsia="宋体" w:cs="宋体"/>
      <w:kern w:val="0"/>
      <w:sz w:val="22"/>
    </w:rPr>
  </w:style>
  <w:style w:type="table" w:customStyle="1" w:styleId="17">
    <w:name w:val="Table Normal"/>
    <w:autoRedefine/>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18">
    <w:name w:val="段"/>
    <w:basedOn w:val="1"/>
    <w:autoRedefine/>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19">
    <w:name w:val="font01"/>
    <w:basedOn w:val="11"/>
    <w:autoRedefine/>
    <w:qFormat/>
    <w:uiPriority w:val="0"/>
    <w:rPr>
      <w:rFonts w:hint="eastAsia" w:ascii="宋体" w:hAnsi="宋体" w:eastAsia="宋体" w:cs="宋体"/>
      <w:color w:val="000000"/>
      <w:sz w:val="22"/>
      <w:szCs w:val="22"/>
      <w:u w:val="none"/>
    </w:rPr>
  </w:style>
  <w:style w:type="character" w:customStyle="1" w:styleId="20">
    <w:name w:val="font61"/>
    <w:basedOn w:val="11"/>
    <w:autoRedefine/>
    <w:qFormat/>
    <w:uiPriority w:val="0"/>
    <w:rPr>
      <w:rFonts w:hint="eastAsia" w:ascii="宋体" w:hAnsi="宋体" w:eastAsia="宋体" w:cs="宋体"/>
      <w:color w:val="000000"/>
      <w:sz w:val="20"/>
      <w:szCs w:val="20"/>
      <w:u w:val="none"/>
    </w:rPr>
  </w:style>
  <w:style w:type="paragraph" w:customStyle="1" w:styleId="21">
    <w:name w:val="列表段落1"/>
    <w:basedOn w:val="1"/>
    <w:autoRedefine/>
    <w:qFormat/>
    <w:uiPriority w:val="34"/>
    <w:pPr>
      <w:ind w:firstLine="420" w:firstLineChars="200"/>
    </w:pPr>
  </w:style>
  <w:style w:type="paragraph" w:customStyle="1" w:styleId="22">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3">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character" w:customStyle="1" w:styleId="24">
    <w:name w:val="标题 1 Char1"/>
    <w:autoRedefine/>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2002</Words>
  <Characters>2152</Characters>
  <Lines>0</Lines>
  <Paragraphs>0</Paragraphs>
  <TotalTime>1</TotalTime>
  <ScaleCrop>false</ScaleCrop>
  <LinksUpToDate>false</LinksUpToDate>
  <CharactersWithSpaces>2309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谷子</cp:lastModifiedBy>
  <dcterms:modified xsi:type="dcterms:W3CDTF">2024-06-21T03:32:46Z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286E00065D164A85A65D1B326A7479F1_13</vt:lpwstr>
  </property>
</Properties>
</file>