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textAlignment w:val="baseline"/>
        <w:rPr>
          <w:rFonts w:hint="eastAsia" w:ascii="黑体" w:hAnsi="黑体" w:eastAsia="黑体" w:cs="黑体"/>
          <w:b w:val="0"/>
          <w:bCs w:val="0"/>
          <w:kern w:val="0"/>
          <w:sz w:val="32"/>
          <w:szCs w:val="32"/>
          <w:highlight w:val="none"/>
          <w:lang w:val="en-US" w:eastAsia="zh-CN"/>
        </w:rPr>
      </w:pPr>
      <w:bookmarkStart w:id="0" w:name="_GoBack"/>
      <w:r>
        <w:rPr>
          <w:rFonts w:hint="eastAsia" w:ascii="黑体" w:hAnsi="黑体" w:eastAsia="黑体" w:cs="黑体"/>
          <w:b w:val="0"/>
          <w:bCs w:val="0"/>
          <w:kern w:val="0"/>
          <w:sz w:val="32"/>
          <w:szCs w:val="32"/>
          <w:highlight w:val="none"/>
          <w:lang w:val="en-US" w:eastAsia="zh-CN"/>
        </w:rPr>
        <w:t>附件</w:t>
      </w:r>
    </w:p>
    <w:p>
      <w:pPr>
        <w:snapToGrid w:val="0"/>
        <w:spacing w:line="520" w:lineRule="exact"/>
        <w:jc w:val="center"/>
        <w:textAlignment w:val="baseline"/>
        <w:rPr>
          <w:rFonts w:hint="eastAsia" w:ascii="方正小标宋_GBK" w:hAnsi="方正小标宋_GBK" w:eastAsia="方正小标宋_GBK" w:cs="方正小标宋_GBK"/>
          <w:b w:val="0"/>
          <w:bCs w:val="0"/>
          <w:kern w:val="0"/>
          <w:sz w:val="44"/>
          <w:szCs w:val="44"/>
          <w:highlight w:val="none"/>
        </w:rPr>
      </w:pPr>
      <w:r>
        <w:rPr>
          <w:rFonts w:hint="eastAsia" w:ascii="方正小标宋_GBK" w:hAnsi="方正小标宋_GBK" w:eastAsia="方正小标宋_GBK" w:cs="方正小标宋_GBK"/>
          <w:b w:val="0"/>
          <w:bCs w:val="0"/>
          <w:kern w:val="0"/>
          <w:sz w:val="44"/>
          <w:szCs w:val="44"/>
          <w:highlight w:val="none"/>
          <w:lang w:eastAsia="zh-CN"/>
        </w:rPr>
        <w:t>保亭黎族苗族自治县妇幼保健院建设</w:t>
      </w:r>
      <w:r>
        <w:rPr>
          <w:rFonts w:hint="eastAsia" w:ascii="方正小标宋_GBK" w:hAnsi="方正小标宋_GBK" w:eastAsia="方正小标宋_GBK" w:cs="方正小标宋_GBK"/>
          <w:b w:val="0"/>
          <w:bCs w:val="0"/>
          <w:kern w:val="0"/>
          <w:sz w:val="44"/>
          <w:szCs w:val="44"/>
          <w:highlight w:val="none"/>
        </w:rPr>
        <w:t>项目</w:t>
      </w:r>
    </w:p>
    <w:p>
      <w:pPr>
        <w:snapToGrid w:val="0"/>
        <w:spacing w:line="520" w:lineRule="exact"/>
        <w:jc w:val="center"/>
        <w:textAlignment w:val="baseline"/>
        <w:rPr>
          <w:rFonts w:hint="eastAsia" w:ascii="方正小标宋_GBK" w:hAnsi="方正小标宋_GBK" w:eastAsia="方正小标宋_GBK" w:cs="方正小标宋_GBK"/>
          <w:b w:val="0"/>
          <w:bCs w:val="0"/>
          <w:kern w:val="0"/>
          <w:sz w:val="44"/>
          <w:szCs w:val="44"/>
          <w:highlight w:val="none"/>
          <w:lang w:eastAsia="zh-CN"/>
        </w:rPr>
      </w:pPr>
      <w:r>
        <w:rPr>
          <w:rFonts w:hint="eastAsia" w:ascii="方正小标宋_GBK" w:hAnsi="方正小标宋_GBK" w:eastAsia="方正小标宋_GBK" w:cs="方正小标宋_GBK"/>
          <w:b w:val="0"/>
          <w:bCs w:val="0"/>
          <w:kern w:val="0"/>
          <w:sz w:val="44"/>
          <w:szCs w:val="44"/>
          <w:highlight w:val="none"/>
        </w:rPr>
        <w:t>遴选提升改造项目洁净环境检测单位</w:t>
      </w:r>
    </w:p>
    <w:p>
      <w:pPr>
        <w:snapToGrid w:val="0"/>
        <w:spacing w:line="520" w:lineRule="exact"/>
        <w:jc w:val="center"/>
        <w:textAlignment w:val="baseline"/>
        <w:rPr>
          <w:rFonts w:hint="eastAsia" w:ascii="方正小标宋_GBK" w:hAnsi="方正小标宋_GBK" w:eastAsia="方正小标宋_GBK" w:cs="方正小标宋_GBK"/>
          <w:b w:val="0"/>
          <w:bCs w:val="0"/>
          <w:kern w:val="0"/>
          <w:sz w:val="44"/>
          <w:szCs w:val="44"/>
          <w:highlight w:val="none"/>
          <w:lang w:eastAsia="zh-CN"/>
        </w:rPr>
      </w:pPr>
      <w:r>
        <w:rPr>
          <w:rFonts w:hint="eastAsia" w:ascii="方正小标宋_GBK" w:hAnsi="方正小标宋_GBK" w:eastAsia="方正小标宋_GBK" w:cs="方正小标宋_GBK"/>
          <w:b w:val="0"/>
          <w:bCs w:val="0"/>
          <w:kern w:val="0"/>
          <w:sz w:val="44"/>
          <w:szCs w:val="44"/>
          <w:highlight w:val="none"/>
          <w:lang w:eastAsia="zh-CN"/>
        </w:rPr>
        <w:t>项目简介及评分标准</w:t>
      </w:r>
    </w:p>
    <w:bookmarkEnd w:id="0"/>
    <w:p>
      <w:pPr>
        <w:snapToGrid w:val="0"/>
        <w:spacing w:line="520" w:lineRule="exact"/>
        <w:ind w:firstLine="640" w:firstLineChars="200"/>
        <w:textAlignment w:val="baseline"/>
        <w:rPr>
          <w:rFonts w:ascii="仿宋" w:hAnsi="仿宋" w:eastAsia="仿宋" w:cs="仿宋"/>
          <w:kern w:val="0"/>
          <w:sz w:val="32"/>
          <w:szCs w:val="32"/>
          <w:highlight w:val="none"/>
        </w:rPr>
      </w:pPr>
    </w:p>
    <w:p>
      <w:pPr>
        <w:snapToGrid w:val="0"/>
        <w:spacing w:line="520" w:lineRule="exact"/>
        <w:ind w:firstLine="640" w:firstLineChars="200"/>
        <w:textAlignment w:val="baseline"/>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一、项目概况</w:t>
      </w:r>
    </w:p>
    <w:p>
      <w:pPr>
        <w:snapToGrid w:val="0"/>
        <w:spacing w:line="520" w:lineRule="exact"/>
        <w:ind w:firstLine="640" w:firstLineChars="200"/>
        <w:textAlignment w:val="baseline"/>
        <w:rPr>
          <w:rFonts w:hint="eastAsia" w:ascii="楷体_GB2312" w:hAnsi="楷体_GB2312" w:eastAsia="楷体_GB2312" w:cs="楷体_GB2312"/>
          <w:b w:val="0"/>
          <w:bCs w:val="0"/>
          <w:kern w:val="0"/>
          <w:sz w:val="32"/>
          <w:szCs w:val="32"/>
          <w:highlight w:val="none"/>
        </w:rPr>
      </w:pPr>
      <w:r>
        <w:rPr>
          <w:rFonts w:hint="eastAsia" w:ascii="楷体_GB2312" w:hAnsi="楷体_GB2312" w:eastAsia="楷体_GB2312" w:cs="楷体_GB2312"/>
          <w:b w:val="0"/>
          <w:bCs w:val="0"/>
          <w:kern w:val="0"/>
          <w:sz w:val="32"/>
          <w:szCs w:val="32"/>
          <w:highlight w:val="none"/>
        </w:rPr>
        <w:t>（一）项目选址</w:t>
      </w:r>
    </w:p>
    <w:p>
      <w:pPr>
        <w:spacing w:line="360" w:lineRule="auto"/>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sz w:val="32"/>
          <w:szCs w:val="32"/>
          <w:highlight w:val="none"/>
          <w:lang w:eastAsia="zh-CN"/>
        </w:rPr>
        <w:t>保亭县</w:t>
      </w:r>
      <w:r>
        <w:rPr>
          <w:rFonts w:hint="eastAsia" w:ascii="仿宋" w:hAnsi="仿宋" w:eastAsia="仿宋" w:cs="仿宋"/>
          <w:sz w:val="32"/>
          <w:szCs w:val="32"/>
          <w:highlight w:val="none"/>
        </w:rPr>
        <w:t>热作所医院现址及周边区域</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kern w:val="0"/>
          <w:sz w:val="32"/>
          <w:szCs w:val="32"/>
          <w:highlight w:val="none"/>
        </w:rPr>
      </w:pPr>
      <w:r>
        <w:rPr>
          <w:rFonts w:hint="eastAsia" w:ascii="楷体_GB2312" w:hAnsi="楷体_GB2312" w:eastAsia="楷体_GB2312" w:cs="楷体_GB2312"/>
          <w:b w:val="0"/>
          <w:bCs w:val="0"/>
          <w:kern w:val="0"/>
          <w:sz w:val="32"/>
          <w:szCs w:val="32"/>
          <w:highlight w:val="none"/>
        </w:rPr>
        <w:t>建设内容及规模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 w:hAnsi="仿宋" w:eastAsia="仿宋" w:cs="仿宋"/>
          <w:kern w:val="0"/>
          <w:sz w:val="32"/>
          <w:szCs w:val="32"/>
          <w:highlight w:val="none"/>
          <w:lang w:val="en-US" w:eastAsia="zh-CN"/>
        </w:rPr>
      </w:pP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总用地面积为14206.18m</w:t>
      </w:r>
      <w:r>
        <w:rPr>
          <w:rFonts w:hint="eastAsia" w:ascii="仿宋" w:hAnsi="仿宋" w:eastAsia="仿宋" w:cs="仿宋"/>
          <w:sz w:val="32"/>
          <w:szCs w:val="32"/>
          <w:highlight w:val="none"/>
          <w:vertAlign w:val="superscript"/>
        </w:rPr>
        <w:t>2</w:t>
      </w:r>
      <w:r>
        <w:rPr>
          <w:rFonts w:hint="eastAsia" w:ascii="仿宋" w:hAnsi="仿宋" w:eastAsia="仿宋" w:cs="仿宋"/>
          <w:sz w:val="32"/>
          <w:szCs w:val="32"/>
          <w:highlight w:val="none"/>
          <w:vertAlign w:val="baseline"/>
          <w:lang w:eastAsia="zh-CN"/>
        </w:rPr>
        <w:t>，</w:t>
      </w:r>
      <w:r>
        <w:rPr>
          <w:rFonts w:hint="eastAsia" w:ascii="仿宋" w:hAnsi="仿宋" w:eastAsia="仿宋" w:cs="仿宋"/>
          <w:sz w:val="32"/>
          <w:szCs w:val="32"/>
          <w:highlight w:val="none"/>
        </w:rPr>
        <w:t>建筑面积为</w:t>
      </w:r>
      <w:r>
        <w:rPr>
          <w:rFonts w:hint="eastAsia" w:ascii="仿宋" w:hAnsi="仿宋" w:eastAsia="仿宋" w:cs="仿宋"/>
          <w:sz w:val="32"/>
          <w:szCs w:val="32"/>
          <w:highlight w:val="none"/>
          <w:lang w:val="en-US" w:eastAsia="zh-CN"/>
        </w:rPr>
        <w:t>11725.55</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2</w:t>
      </w:r>
      <w:r>
        <w:rPr>
          <w:rFonts w:hint="eastAsia" w:ascii="仿宋" w:hAnsi="仿宋" w:eastAsia="仿宋" w:cs="仿宋"/>
          <w:sz w:val="32"/>
          <w:szCs w:val="32"/>
          <w:highlight w:val="none"/>
          <w:vertAlign w:val="baseline"/>
          <w:lang w:eastAsia="zh-CN"/>
        </w:rPr>
        <w:t>。</w:t>
      </w:r>
      <w:r>
        <w:rPr>
          <w:rFonts w:hint="eastAsia" w:ascii="仿宋" w:hAnsi="仿宋" w:eastAsia="仿宋" w:cs="仿宋"/>
          <w:sz w:val="32"/>
          <w:szCs w:val="32"/>
          <w:highlight w:val="none"/>
        </w:rPr>
        <w:t>拟新建一幢6层综合楼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11049.92</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其中地下室面积</w:t>
      </w:r>
      <w:r>
        <w:rPr>
          <w:rFonts w:hint="eastAsia" w:ascii="仿宋" w:hAnsi="仿宋" w:eastAsia="仿宋" w:cs="仿宋"/>
          <w:sz w:val="32"/>
          <w:szCs w:val="32"/>
          <w:highlight w:val="none"/>
          <w:lang w:val="en-US" w:eastAsia="zh-CN"/>
        </w:rPr>
        <w:t>596.20</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、一幢2层感染病楼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535.21</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一幢1层综合辅助用房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140.20</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2</w:t>
      </w:r>
      <w:r>
        <w:rPr>
          <w:rFonts w:hint="eastAsia" w:ascii="仿宋" w:hAnsi="仿宋" w:eastAsia="仿宋" w:cs="仿宋"/>
          <w:sz w:val="32"/>
          <w:szCs w:val="32"/>
          <w:highlight w:val="none"/>
          <w:lang w:eastAsia="zh-CN"/>
        </w:rPr>
        <w:t>）和建设室外给排水、电气、绿化、道路、广场等配套工程，其中机动车停车位105个、非机动车停车位35个。项目共设置床位</w:t>
      </w:r>
      <w:r>
        <w:rPr>
          <w:rFonts w:hint="eastAsia" w:ascii="仿宋" w:hAnsi="仿宋" w:eastAsia="仿宋" w:cs="仿宋"/>
          <w:sz w:val="32"/>
          <w:szCs w:val="32"/>
          <w:highlight w:val="none"/>
          <w:lang w:val="en-US" w:eastAsia="zh-CN"/>
        </w:rPr>
        <w:t>103张，</w:t>
      </w:r>
      <w:r>
        <w:rPr>
          <w:rFonts w:hint="eastAsia" w:ascii="仿宋" w:hAnsi="仿宋" w:eastAsia="仿宋" w:cs="仿宋"/>
          <w:sz w:val="32"/>
          <w:szCs w:val="32"/>
          <w:highlight w:val="none"/>
        </w:rPr>
        <w:t>将建设成为二</w:t>
      </w:r>
      <w:r>
        <w:rPr>
          <w:rFonts w:hint="eastAsia" w:ascii="仿宋" w:hAnsi="仿宋" w:eastAsia="仿宋" w:cs="仿宋"/>
          <w:sz w:val="32"/>
          <w:szCs w:val="32"/>
          <w:highlight w:val="none"/>
          <w:lang w:eastAsia="zh-CN"/>
        </w:rPr>
        <w:t>级</w:t>
      </w:r>
      <w:r>
        <w:rPr>
          <w:rFonts w:hint="eastAsia" w:ascii="仿宋" w:hAnsi="仿宋" w:eastAsia="仿宋" w:cs="仿宋"/>
          <w:sz w:val="32"/>
          <w:szCs w:val="32"/>
          <w:highlight w:val="none"/>
        </w:rPr>
        <w:t>甲</w:t>
      </w:r>
      <w:r>
        <w:rPr>
          <w:rFonts w:hint="eastAsia" w:ascii="仿宋" w:hAnsi="仿宋" w:eastAsia="仿宋" w:cs="仿宋"/>
          <w:sz w:val="32"/>
          <w:szCs w:val="32"/>
          <w:highlight w:val="none"/>
          <w:lang w:eastAsia="zh-CN"/>
        </w:rPr>
        <w:t>等</w:t>
      </w:r>
      <w:r>
        <w:rPr>
          <w:rFonts w:hint="eastAsia" w:ascii="仿宋" w:hAnsi="仿宋" w:eastAsia="仿宋" w:cs="仿宋"/>
          <w:sz w:val="32"/>
          <w:szCs w:val="32"/>
          <w:highlight w:val="none"/>
        </w:rPr>
        <w:t>妇幼保健院</w:t>
      </w:r>
      <w:r>
        <w:rPr>
          <w:rFonts w:hint="eastAsia" w:ascii="仿宋" w:hAnsi="仿宋" w:eastAsia="仿宋" w:cs="仿宋"/>
          <w:sz w:val="32"/>
          <w:szCs w:val="32"/>
          <w:highlight w:val="none"/>
          <w:lang w:eastAsia="zh-CN"/>
        </w:rPr>
        <w:t>。本次项目建设内容包括：全院改造提升工程、综合楼单体改造提升工程、感染楼单体改造提升工程、医疗配套工程、医疗设备购置及医院运营开办工。</w:t>
      </w:r>
    </w:p>
    <w:p>
      <w:pPr>
        <w:snapToGrid w:val="0"/>
        <w:spacing w:line="520" w:lineRule="exact"/>
        <w:ind w:firstLine="640" w:firstLineChars="200"/>
        <w:textAlignment w:val="baseline"/>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二、项目业主单位</w:t>
      </w:r>
    </w:p>
    <w:p>
      <w:pPr>
        <w:snapToGrid w:val="0"/>
        <w:spacing w:line="520" w:lineRule="exact"/>
        <w:ind w:firstLine="640" w:firstLineChars="200"/>
        <w:textAlignment w:val="baseline"/>
        <w:rPr>
          <w:rFonts w:ascii="仿宋_GB2312" w:hAnsi="宋体" w:eastAsia="仿宋_GB2312"/>
          <w:bCs/>
          <w:sz w:val="32"/>
          <w:szCs w:val="32"/>
          <w:highlight w:val="none"/>
        </w:rPr>
      </w:pPr>
      <w:r>
        <w:rPr>
          <w:rFonts w:hint="eastAsia" w:ascii="仿宋_GB2312" w:hAnsi="宋体" w:eastAsia="仿宋_GB2312"/>
          <w:bCs/>
          <w:sz w:val="32"/>
          <w:szCs w:val="32"/>
          <w:highlight w:val="none"/>
        </w:rPr>
        <w:t>业主单位：</w:t>
      </w:r>
      <w:r>
        <w:rPr>
          <w:rFonts w:hint="eastAsia" w:ascii="仿宋_GB2312" w:hAnsi="宋体" w:eastAsia="仿宋_GB2312"/>
          <w:bCs/>
          <w:sz w:val="32"/>
          <w:szCs w:val="32"/>
          <w:highlight w:val="none"/>
          <w:lang w:eastAsia="zh-CN"/>
        </w:rPr>
        <w:t>保亭黎族苗族自治县妇幼保健计划生育服务中心</w:t>
      </w:r>
    </w:p>
    <w:p>
      <w:pPr>
        <w:snapToGrid w:val="0"/>
        <w:spacing w:line="520" w:lineRule="exact"/>
        <w:ind w:firstLine="640" w:firstLineChars="200"/>
        <w:textAlignment w:val="baseline"/>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三、投资情况</w:t>
      </w:r>
    </w:p>
    <w:p>
      <w:pPr>
        <w:snapToGrid w:val="0"/>
        <w:spacing w:line="520" w:lineRule="exact"/>
        <w:ind w:firstLine="640" w:firstLineChars="200"/>
        <w:textAlignment w:val="baseline"/>
        <w:rPr>
          <w:rFonts w:hint="eastAsia" w:ascii="仿宋_GB2312" w:hAnsi="宋体" w:eastAsia="仿宋_GB2312"/>
          <w:bCs/>
          <w:sz w:val="32"/>
          <w:szCs w:val="32"/>
          <w:highlight w:val="none"/>
        </w:rPr>
      </w:pPr>
      <w:r>
        <w:rPr>
          <w:rFonts w:hint="eastAsia" w:ascii="仿宋" w:hAnsi="仿宋" w:eastAsia="仿宋" w:cs="仿宋"/>
          <w:bCs/>
          <w:sz w:val="32"/>
          <w:szCs w:val="32"/>
          <w:highlight w:val="none"/>
        </w:rPr>
        <w:t>项目</w:t>
      </w:r>
      <w:r>
        <w:rPr>
          <w:rFonts w:hint="eastAsia" w:ascii="仿宋" w:hAnsi="仿宋" w:eastAsia="仿宋" w:cs="仿宋"/>
          <w:bCs/>
          <w:sz w:val="32"/>
          <w:szCs w:val="32"/>
          <w:highlight w:val="none"/>
          <w:lang w:eastAsia="zh-CN"/>
        </w:rPr>
        <w:t>总</w:t>
      </w:r>
      <w:r>
        <w:rPr>
          <w:rFonts w:hint="eastAsia" w:ascii="仿宋" w:hAnsi="仿宋" w:eastAsia="仿宋" w:cs="仿宋"/>
          <w:bCs/>
          <w:sz w:val="32"/>
          <w:szCs w:val="32"/>
          <w:highlight w:val="none"/>
        </w:rPr>
        <w:t>投资</w:t>
      </w:r>
      <w:r>
        <w:rPr>
          <w:rFonts w:hint="eastAsia" w:ascii="仿宋_GB2312" w:hAnsi="宋体" w:eastAsia="仿宋_GB2312"/>
          <w:bCs/>
          <w:sz w:val="32"/>
          <w:szCs w:val="32"/>
          <w:highlight w:val="none"/>
          <w:lang w:eastAsia="zh-CN"/>
        </w:rPr>
        <w:t>：</w:t>
      </w:r>
      <w:r>
        <w:rPr>
          <w:rFonts w:hint="eastAsia" w:ascii="仿宋" w:hAnsi="仿宋" w:eastAsia="仿宋" w:cs="仿宋"/>
          <w:sz w:val="32"/>
          <w:szCs w:val="32"/>
          <w:highlight w:val="none"/>
          <w:lang w:val="en-US" w:eastAsia="zh-CN"/>
        </w:rPr>
        <w:t>7340</w:t>
      </w:r>
      <w:r>
        <w:rPr>
          <w:rFonts w:hint="eastAsia" w:ascii="仿宋_GB2312" w:hAnsi="宋体" w:eastAsia="仿宋_GB2312"/>
          <w:bCs/>
          <w:sz w:val="32"/>
          <w:szCs w:val="32"/>
          <w:highlight w:val="none"/>
        </w:rPr>
        <w:t>万元</w:t>
      </w:r>
      <w:r>
        <w:rPr>
          <w:rFonts w:hint="eastAsia" w:ascii="仿宋_GB2312" w:hAnsi="宋体" w:eastAsia="仿宋_GB2312"/>
          <w:bCs/>
          <w:sz w:val="32"/>
          <w:szCs w:val="32"/>
          <w:highlight w:val="none"/>
          <w:lang w:eastAsia="zh-CN"/>
        </w:rPr>
        <w:t>，资金来源为政府财政</w:t>
      </w:r>
      <w:r>
        <w:rPr>
          <w:rFonts w:hint="eastAsia" w:ascii="仿宋_GB2312" w:hAnsi="宋体" w:eastAsia="仿宋_GB2312"/>
          <w:bCs/>
          <w:sz w:val="32"/>
          <w:szCs w:val="32"/>
          <w:highlight w:val="none"/>
        </w:rPr>
        <w:t>资金</w:t>
      </w:r>
    </w:p>
    <w:p>
      <w:pPr>
        <w:snapToGrid w:val="0"/>
        <w:spacing w:line="520" w:lineRule="exact"/>
        <w:ind w:firstLine="640" w:firstLineChars="200"/>
        <w:textAlignment w:val="baseline"/>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四、建设期限</w:t>
      </w:r>
    </w:p>
    <w:p>
      <w:pPr>
        <w:snapToGrid w:val="0"/>
        <w:spacing w:line="520" w:lineRule="exact"/>
        <w:ind w:left="630"/>
        <w:textAlignment w:val="baseline"/>
        <w:rPr>
          <w:rFonts w:hint="default"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rPr>
        <w:t>202</w:t>
      </w:r>
      <w:r>
        <w:rPr>
          <w:rFonts w:hint="eastAsia" w:ascii="仿宋_GB2312" w:hAnsi="宋体" w:eastAsia="仿宋_GB2312"/>
          <w:bCs/>
          <w:sz w:val="32"/>
          <w:szCs w:val="32"/>
          <w:highlight w:val="none"/>
          <w:lang w:val="en-US" w:eastAsia="zh-CN"/>
        </w:rPr>
        <w:t>2</w:t>
      </w:r>
      <w:r>
        <w:rPr>
          <w:rFonts w:hint="eastAsia" w:ascii="仿宋_GB2312" w:hAnsi="宋体" w:eastAsia="仿宋_GB2312"/>
          <w:bCs/>
          <w:sz w:val="32"/>
          <w:szCs w:val="32"/>
          <w:highlight w:val="none"/>
        </w:rPr>
        <w:t>年</w:t>
      </w:r>
      <w:r>
        <w:rPr>
          <w:rFonts w:hint="eastAsia" w:ascii="仿宋_GB2312" w:hAnsi="宋体" w:eastAsia="仿宋_GB2312"/>
          <w:bCs/>
          <w:sz w:val="32"/>
          <w:szCs w:val="32"/>
          <w:highlight w:val="none"/>
          <w:lang w:val="en-US" w:eastAsia="zh-CN"/>
        </w:rPr>
        <w:t>4</w:t>
      </w:r>
      <w:r>
        <w:rPr>
          <w:rFonts w:hint="eastAsia" w:ascii="仿宋_GB2312" w:hAnsi="宋体" w:eastAsia="仿宋_GB2312"/>
          <w:bCs/>
          <w:sz w:val="32"/>
          <w:szCs w:val="32"/>
          <w:highlight w:val="none"/>
        </w:rPr>
        <w:t>月-202</w:t>
      </w:r>
      <w:r>
        <w:rPr>
          <w:rFonts w:hint="eastAsia" w:ascii="仿宋_GB2312" w:hAnsi="宋体" w:eastAsia="仿宋_GB2312"/>
          <w:bCs/>
          <w:sz w:val="32"/>
          <w:szCs w:val="32"/>
          <w:highlight w:val="none"/>
          <w:lang w:val="en-US" w:eastAsia="zh-CN"/>
        </w:rPr>
        <w:t>3</w:t>
      </w:r>
      <w:r>
        <w:rPr>
          <w:rFonts w:hint="eastAsia" w:ascii="仿宋_GB2312" w:hAnsi="宋体" w:eastAsia="仿宋_GB2312"/>
          <w:bCs/>
          <w:sz w:val="32"/>
          <w:szCs w:val="32"/>
          <w:highlight w:val="none"/>
        </w:rPr>
        <w:t>年</w:t>
      </w:r>
      <w:r>
        <w:rPr>
          <w:rFonts w:hint="eastAsia" w:ascii="仿宋_GB2312" w:hAnsi="宋体" w:eastAsia="仿宋_GB2312"/>
          <w:bCs/>
          <w:sz w:val="32"/>
          <w:szCs w:val="32"/>
          <w:highlight w:val="none"/>
          <w:lang w:val="en-US" w:eastAsia="zh-CN"/>
        </w:rPr>
        <w:t>12</w:t>
      </w:r>
      <w:r>
        <w:rPr>
          <w:rFonts w:hint="eastAsia" w:ascii="仿宋_GB2312" w:hAnsi="宋体" w:eastAsia="仿宋_GB2312"/>
          <w:bCs/>
          <w:sz w:val="32"/>
          <w:szCs w:val="32"/>
          <w:highlight w:val="none"/>
        </w:rPr>
        <w:t>月</w:t>
      </w:r>
      <w:r>
        <w:rPr>
          <w:rFonts w:hint="eastAsia" w:ascii="仿宋_GB2312" w:hAnsi="宋体" w:eastAsia="仿宋_GB2312"/>
          <w:bCs/>
          <w:sz w:val="32"/>
          <w:szCs w:val="32"/>
          <w:highlight w:val="none"/>
          <w:lang w:val="en-US" w:eastAsia="zh-CN"/>
        </w:rPr>
        <w:t xml:space="preserve">   </w:t>
      </w:r>
    </w:p>
    <w:p>
      <w:pPr>
        <w:snapToGrid w:val="0"/>
        <w:spacing w:line="520" w:lineRule="exact"/>
        <w:ind w:firstLine="640" w:firstLineChars="200"/>
        <w:textAlignment w:val="baseline"/>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五、技术服务内容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严格按照《医院洁净手术部建筑技术规范》等有关标准规范对新建保亭黎族苗族自治县妇幼保健院项目进行洁净环境检测。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cs="黑体"/>
          <w:b w:val="0"/>
          <w:bCs w:val="0"/>
          <w:kern w:val="0"/>
          <w:sz w:val="32"/>
          <w:szCs w:val="32"/>
          <w:highlight w:val="none"/>
          <w:lang w:eastAsia="zh-CN"/>
        </w:rPr>
      </w:pPr>
      <w:r>
        <w:rPr>
          <w:rFonts w:hint="eastAsia" w:ascii="黑体" w:hAnsi="黑体" w:eastAsia="黑体" w:cs="黑体"/>
          <w:b w:val="0"/>
          <w:bCs w:val="0"/>
          <w:kern w:val="0"/>
          <w:sz w:val="32"/>
          <w:szCs w:val="32"/>
          <w:highlight w:val="none"/>
          <w:lang w:eastAsia="zh-CN"/>
        </w:rPr>
        <w:t>六、本项目</w:t>
      </w:r>
      <w:r>
        <w:rPr>
          <w:rFonts w:hint="eastAsia" w:ascii="黑体" w:hAnsi="黑体" w:eastAsia="黑体" w:cs="黑体"/>
          <w:b w:val="0"/>
          <w:bCs w:val="0"/>
          <w:kern w:val="0"/>
          <w:sz w:val="32"/>
          <w:szCs w:val="32"/>
          <w:highlight w:val="none"/>
          <w:lang w:val="en-US" w:eastAsia="zh-CN"/>
        </w:rPr>
        <w:t>控制</w:t>
      </w:r>
      <w:r>
        <w:rPr>
          <w:rFonts w:hint="eastAsia" w:ascii="黑体" w:hAnsi="黑体" w:eastAsia="黑体" w:cs="黑体"/>
          <w:b w:val="0"/>
          <w:bCs w:val="0"/>
          <w:kern w:val="0"/>
          <w:sz w:val="32"/>
          <w:szCs w:val="32"/>
          <w:highlight w:val="none"/>
          <w:lang w:eastAsia="zh-CN"/>
        </w:rPr>
        <w:t>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本项目控制价为：本次服务费用预算48000元（报价超过该价格无效）。</w:t>
      </w:r>
    </w:p>
    <w:p>
      <w:pPr>
        <w:snapToGrid w:val="0"/>
        <w:spacing w:line="520" w:lineRule="exact"/>
        <w:ind w:firstLine="640" w:firstLineChars="200"/>
        <w:textAlignment w:val="baseline"/>
        <w:rPr>
          <w:rFonts w:hint="eastAsia"/>
          <w:sz w:val="32"/>
          <w:szCs w:val="32"/>
          <w:highlight w:val="none"/>
        </w:rPr>
      </w:pPr>
      <w:r>
        <w:rPr>
          <w:rFonts w:hint="eastAsia" w:ascii="黑体" w:hAnsi="黑体" w:eastAsia="黑体" w:cs="黑体"/>
          <w:b w:val="0"/>
          <w:bCs w:val="0"/>
          <w:kern w:val="0"/>
          <w:sz w:val="32"/>
          <w:szCs w:val="32"/>
          <w:highlight w:val="none"/>
          <w:lang w:eastAsia="zh-CN"/>
        </w:rPr>
        <w:t>七、评分标准</w:t>
      </w:r>
    </w:p>
    <w:p>
      <w:pPr>
        <w:rPr>
          <w:rFonts w:hint="eastAsia"/>
          <w:highlight w:val="none"/>
        </w:rPr>
      </w:pPr>
    </w:p>
    <w:tbl>
      <w:tblPr>
        <w:tblStyle w:val="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384"/>
        <w:gridCol w:w="557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top"/>
          </w:tcPr>
          <w:p>
            <w:pPr>
              <w:rPr>
                <w:rFonts w:hint="eastAsia" w:ascii="宋体" w:hAnsi="宋体"/>
                <w:szCs w:val="21"/>
                <w:highlight w:val="none"/>
              </w:rPr>
            </w:pPr>
            <w:r>
              <w:rPr>
                <w:rFonts w:hint="eastAsia" w:ascii="宋体" w:hAnsi="宋体"/>
                <w:szCs w:val="21"/>
                <w:highlight w:val="none"/>
              </w:rPr>
              <w:t>序号</w:t>
            </w:r>
          </w:p>
        </w:tc>
        <w:tc>
          <w:tcPr>
            <w:tcW w:w="1384" w:type="dxa"/>
            <w:noWrap w:val="0"/>
            <w:vAlign w:val="top"/>
          </w:tcPr>
          <w:p>
            <w:pPr>
              <w:jc w:val="center"/>
              <w:rPr>
                <w:rFonts w:hint="eastAsia" w:ascii="宋体" w:hAnsi="宋体"/>
                <w:szCs w:val="21"/>
                <w:highlight w:val="none"/>
              </w:rPr>
            </w:pPr>
            <w:r>
              <w:rPr>
                <w:rFonts w:hint="eastAsia" w:ascii="宋体" w:hAnsi="宋体"/>
                <w:szCs w:val="21"/>
                <w:highlight w:val="none"/>
              </w:rPr>
              <w:t>评分项目</w:t>
            </w:r>
          </w:p>
        </w:tc>
        <w:tc>
          <w:tcPr>
            <w:tcW w:w="5570" w:type="dxa"/>
            <w:noWrap w:val="0"/>
            <w:vAlign w:val="top"/>
          </w:tcPr>
          <w:p>
            <w:pPr>
              <w:jc w:val="center"/>
              <w:rPr>
                <w:rFonts w:hint="eastAsia" w:ascii="宋体" w:hAnsi="宋体"/>
                <w:szCs w:val="21"/>
                <w:highlight w:val="none"/>
              </w:rPr>
            </w:pPr>
            <w:r>
              <w:rPr>
                <w:rFonts w:hint="eastAsia" w:ascii="宋体" w:hAnsi="宋体"/>
                <w:szCs w:val="21"/>
                <w:highlight w:val="none"/>
              </w:rPr>
              <w:t>评分标准</w:t>
            </w:r>
          </w:p>
        </w:tc>
        <w:tc>
          <w:tcPr>
            <w:tcW w:w="890" w:type="dxa"/>
            <w:noWrap w:val="0"/>
            <w:vAlign w:val="top"/>
          </w:tcPr>
          <w:p>
            <w:pPr>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ind w:firstLine="210" w:firstLineChars="100"/>
              <w:rPr>
                <w:rFonts w:hint="eastAsia" w:ascii="宋体" w:hAnsi="宋体"/>
                <w:szCs w:val="21"/>
                <w:highlight w:val="none"/>
              </w:rPr>
            </w:pPr>
            <w:r>
              <w:rPr>
                <w:rFonts w:hint="eastAsia" w:ascii="宋体" w:hAnsi="宋体"/>
                <w:szCs w:val="21"/>
                <w:highlight w:val="none"/>
              </w:rPr>
              <w:t>1</w:t>
            </w:r>
          </w:p>
        </w:tc>
        <w:tc>
          <w:tcPr>
            <w:tcW w:w="1384" w:type="dxa"/>
            <w:noWrap w:val="0"/>
            <w:vAlign w:val="center"/>
          </w:tcPr>
          <w:p>
            <w:pPr>
              <w:jc w:val="center"/>
              <w:rPr>
                <w:rFonts w:hint="eastAsia" w:ascii="宋体" w:hAnsi="宋体"/>
                <w:szCs w:val="21"/>
                <w:highlight w:val="none"/>
              </w:rPr>
            </w:pPr>
            <w:r>
              <w:rPr>
                <w:rFonts w:hint="eastAsia" w:ascii="宋体" w:hAnsi="宋体"/>
                <w:szCs w:val="21"/>
                <w:highlight w:val="none"/>
              </w:rPr>
              <w:t>报价</w:t>
            </w:r>
          </w:p>
          <w:p>
            <w:pPr>
              <w:jc w:val="center"/>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25</w:t>
            </w:r>
            <w:r>
              <w:rPr>
                <w:rFonts w:hint="eastAsia" w:ascii="宋体" w:hAnsi="宋体"/>
                <w:szCs w:val="21"/>
                <w:highlight w:val="none"/>
              </w:rPr>
              <w:t>分）</w:t>
            </w:r>
          </w:p>
        </w:tc>
        <w:tc>
          <w:tcPr>
            <w:tcW w:w="5570" w:type="dxa"/>
            <w:noWrap w:val="0"/>
            <w:vAlign w:val="top"/>
          </w:tcPr>
          <w:p>
            <w:pPr>
              <w:adjustRightInd w:val="0"/>
              <w:snapToGrid w:val="0"/>
              <w:rPr>
                <w:rFonts w:hint="eastAsia" w:ascii="宋体" w:hAnsi="宋体" w:cs="宋体"/>
                <w:kern w:val="0"/>
                <w:szCs w:val="21"/>
                <w:highlight w:val="none"/>
              </w:rPr>
            </w:pPr>
            <w:r>
              <w:rPr>
                <w:rFonts w:hint="eastAsia" w:ascii="宋体" w:hAnsi="宋体" w:cs="宋体"/>
                <w:kern w:val="0"/>
                <w:szCs w:val="21"/>
                <w:highlight w:val="none"/>
              </w:rPr>
              <w:t>每高于评标基准价1%扣</w:t>
            </w:r>
            <w:r>
              <w:rPr>
                <w:rFonts w:hint="eastAsia" w:ascii="宋体" w:hAnsi="宋体" w:cs="宋体"/>
                <w:kern w:val="0"/>
                <w:szCs w:val="21"/>
                <w:highlight w:val="none"/>
                <w:lang w:val="en-US" w:eastAsia="zh-CN"/>
              </w:rPr>
              <w:t>0.2</w:t>
            </w:r>
            <w:r>
              <w:rPr>
                <w:rFonts w:hint="eastAsia" w:ascii="宋体" w:hAnsi="宋体" w:cs="宋体"/>
                <w:kern w:val="0"/>
                <w:szCs w:val="21"/>
                <w:highlight w:val="none"/>
              </w:rPr>
              <w:t>分，低于评标基准价1%扣</w:t>
            </w:r>
            <w:r>
              <w:rPr>
                <w:rFonts w:hint="eastAsia" w:ascii="宋体" w:hAnsi="宋体" w:cs="宋体"/>
                <w:kern w:val="0"/>
                <w:szCs w:val="21"/>
                <w:highlight w:val="none"/>
                <w:lang w:val="en-US" w:eastAsia="zh-CN"/>
              </w:rPr>
              <w:t>0.1</w:t>
            </w:r>
            <w:r>
              <w:rPr>
                <w:rFonts w:hint="eastAsia" w:ascii="宋体" w:hAnsi="宋体" w:cs="宋体"/>
                <w:kern w:val="0"/>
                <w:szCs w:val="21"/>
                <w:highlight w:val="none"/>
              </w:rPr>
              <w:t>分，不足1%的插值计算，保留两位小数。</w:t>
            </w:r>
          </w:p>
          <w:p>
            <w:pPr>
              <w:rPr>
                <w:rFonts w:hint="eastAsia" w:ascii="宋体" w:hAnsi="宋体"/>
                <w:szCs w:val="21"/>
                <w:highlight w:val="none"/>
              </w:rPr>
            </w:pPr>
            <w:r>
              <w:rPr>
                <w:rFonts w:hint="eastAsia" w:ascii="宋体" w:hAnsi="宋体" w:cs="宋体"/>
                <w:kern w:val="0"/>
                <w:szCs w:val="21"/>
                <w:highlight w:val="none"/>
              </w:rPr>
              <w:t>当有效投标单位少于7家时，评标基准价为有效投标报价的算术平均值；如果有效投标单位大于等于7家时，评标基准价为去掉最高和最低有效报价后的算术平均值。</w:t>
            </w:r>
          </w:p>
        </w:tc>
        <w:tc>
          <w:tcPr>
            <w:tcW w:w="890" w:type="dxa"/>
            <w:noWrap w:val="0"/>
            <w:vAlign w:val="top"/>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ind w:firstLine="210" w:firstLineChars="100"/>
              <w:rPr>
                <w:rFonts w:hint="eastAsia" w:ascii="宋体" w:hAnsi="宋体"/>
                <w:szCs w:val="21"/>
                <w:highlight w:val="none"/>
              </w:rPr>
            </w:pPr>
            <w:r>
              <w:rPr>
                <w:rFonts w:hint="eastAsia" w:ascii="宋体" w:hAnsi="宋体"/>
                <w:szCs w:val="21"/>
                <w:highlight w:val="none"/>
              </w:rPr>
              <w:t>2</w:t>
            </w:r>
          </w:p>
        </w:tc>
        <w:tc>
          <w:tcPr>
            <w:tcW w:w="1384" w:type="dxa"/>
            <w:noWrap w:val="0"/>
            <w:vAlign w:val="center"/>
          </w:tcPr>
          <w:p>
            <w:pPr>
              <w:spacing w:line="240" w:lineRule="auto"/>
              <w:jc w:val="center"/>
              <w:rPr>
                <w:rFonts w:hint="eastAsia" w:ascii="宋体" w:hAnsi="宋体"/>
                <w:szCs w:val="21"/>
                <w:highlight w:val="none"/>
              </w:rPr>
            </w:pPr>
            <w:r>
              <w:rPr>
                <w:rFonts w:hint="eastAsia" w:ascii="宋体" w:hAnsi="宋体"/>
                <w:szCs w:val="21"/>
                <w:highlight w:val="none"/>
              </w:rPr>
              <w:t>项目负责人</w:t>
            </w:r>
          </w:p>
          <w:p>
            <w:pPr>
              <w:spacing w:line="240" w:lineRule="auto"/>
              <w:jc w:val="center"/>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w:t>
            </w:r>
          </w:p>
        </w:tc>
        <w:tc>
          <w:tcPr>
            <w:tcW w:w="5570" w:type="dxa"/>
            <w:noWrap w:val="0"/>
            <w:vAlign w:val="top"/>
          </w:tcPr>
          <w:p>
            <w:pPr>
              <w:spacing w:line="240"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拟派本项目的项目负责人：</w:t>
            </w:r>
          </w:p>
          <w:p>
            <w:pPr>
              <w:numPr>
                <w:ilvl w:val="0"/>
                <w:numId w:val="2"/>
              </w:numPr>
              <w:spacing w:line="240"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具备</w:t>
            </w:r>
            <w:r>
              <w:rPr>
                <w:rFonts w:hint="eastAsia" w:ascii="宋体" w:hAnsi="宋体" w:cs="宋体"/>
                <w:color w:val="000000"/>
                <w:kern w:val="0"/>
                <w:szCs w:val="21"/>
                <w:highlight w:val="none"/>
                <w:lang w:val="en-US" w:eastAsia="zh-CN"/>
              </w:rPr>
              <w:t>注册工程师</w:t>
            </w:r>
            <w:r>
              <w:rPr>
                <w:rFonts w:hint="eastAsia" w:ascii="宋体" w:hAnsi="宋体" w:cs="宋体"/>
                <w:color w:val="000000"/>
                <w:kern w:val="0"/>
                <w:szCs w:val="21"/>
                <w:highlight w:val="none"/>
                <w:lang w:eastAsia="zh-CN"/>
              </w:rPr>
              <w:t>的</w:t>
            </w:r>
            <w:r>
              <w:rPr>
                <w:rFonts w:hint="eastAsia" w:ascii="宋体" w:hAnsi="宋体" w:cs="宋体"/>
                <w:color w:val="000000"/>
                <w:kern w:val="0"/>
                <w:szCs w:val="21"/>
                <w:highlight w:val="none"/>
              </w:rPr>
              <w:t>得</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分</w:t>
            </w:r>
            <w:r>
              <w:rPr>
                <w:rFonts w:hint="eastAsia" w:ascii="宋体" w:hAnsi="宋体" w:cs="宋体"/>
                <w:color w:val="000000"/>
                <w:kern w:val="0"/>
                <w:szCs w:val="21"/>
                <w:highlight w:val="none"/>
                <w:lang w:eastAsia="zh-CN"/>
              </w:rPr>
              <w:t>；</w:t>
            </w:r>
          </w:p>
          <w:p>
            <w:pPr>
              <w:numPr>
                <w:ilvl w:val="0"/>
                <w:numId w:val="2"/>
              </w:numPr>
              <w:spacing w:line="240"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具有</w:t>
            </w:r>
            <w:r>
              <w:rPr>
                <w:rFonts w:hint="eastAsia" w:ascii="宋体" w:hAnsi="宋体" w:cs="宋体"/>
                <w:color w:val="000000"/>
                <w:kern w:val="0"/>
                <w:szCs w:val="21"/>
                <w:highlight w:val="none"/>
                <w:lang w:val="en-US" w:eastAsia="zh-CN"/>
              </w:rPr>
              <w:t>副主任医师</w:t>
            </w:r>
            <w:r>
              <w:rPr>
                <w:rFonts w:hint="eastAsia" w:ascii="宋体" w:hAnsi="宋体" w:cs="宋体"/>
                <w:color w:val="000000"/>
                <w:kern w:val="0"/>
                <w:szCs w:val="21"/>
                <w:highlight w:val="none"/>
              </w:rPr>
              <w:t>职称的得</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 xml:space="preserve">分； </w:t>
            </w:r>
          </w:p>
          <w:p>
            <w:pPr>
              <w:spacing w:line="240"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本项满分</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分。</w:t>
            </w:r>
          </w:p>
          <w:p>
            <w:pPr>
              <w:pStyle w:val="2"/>
              <w:spacing w:line="240" w:lineRule="auto"/>
              <w:rPr>
                <w:rFonts w:hint="eastAsia"/>
                <w:highlight w:val="none"/>
              </w:rPr>
            </w:pPr>
            <w:r>
              <w:rPr>
                <w:rFonts w:hint="eastAsia" w:ascii="宋体" w:hAnsi="宋体" w:cs="宋体" w:eastAsiaTheme="minorEastAsia"/>
                <w:b w:val="0"/>
                <w:bCs w:val="0"/>
                <w:kern w:val="0"/>
                <w:sz w:val="21"/>
                <w:szCs w:val="21"/>
                <w:highlight w:val="none"/>
                <w:lang w:val="en-US" w:eastAsia="zh-CN" w:bidi="ar-SA"/>
              </w:rPr>
              <w:t>证明材料：参选文件中提供加盖公章2024年连续两个月社保证明。</w:t>
            </w:r>
          </w:p>
        </w:tc>
        <w:tc>
          <w:tcPr>
            <w:tcW w:w="890" w:type="dxa"/>
            <w:noWrap w:val="0"/>
            <w:vAlign w:val="top"/>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2" w:type="dxa"/>
            <w:noWrap w:val="0"/>
            <w:vAlign w:val="center"/>
          </w:tcPr>
          <w:p>
            <w:pPr>
              <w:ind w:firstLine="210" w:firstLineChars="100"/>
              <w:rPr>
                <w:rFonts w:hint="eastAsia" w:ascii="宋体" w:hAnsi="宋体"/>
                <w:szCs w:val="21"/>
                <w:highlight w:val="none"/>
              </w:rPr>
            </w:pPr>
          </w:p>
        </w:tc>
        <w:tc>
          <w:tcPr>
            <w:tcW w:w="1384" w:type="dxa"/>
            <w:noWrap w:val="0"/>
            <w:vAlign w:val="center"/>
          </w:tcPr>
          <w:p>
            <w:pPr>
              <w:numPr>
                <w:ilvl w:val="0"/>
                <w:numId w:val="3"/>
              </w:numPr>
              <w:rPr>
                <w:rFonts w:hint="eastAsia" w:ascii="宋体" w:hAnsi="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项目执行人员（15分）</w:t>
            </w:r>
          </w:p>
        </w:tc>
        <w:tc>
          <w:tcPr>
            <w:tcW w:w="5570" w:type="dxa"/>
            <w:noWrap w:val="0"/>
            <w:vAlign w:val="top"/>
          </w:tcPr>
          <w:p>
            <w:pPr>
              <w:numPr>
                <w:ilvl w:val="0"/>
                <w:numId w:val="0"/>
              </w:numPr>
              <w:rPr>
                <w:rFonts w:hint="default" w:ascii="宋体" w:hAnsi="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1.拟派项目组成员需10个及以上，不含项目负责人：</w:t>
            </w:r>
          </w:p>
          <w:p>
            <w:pPr>
              <w:numPr>
                <w:ilvl w:val="0"/>
                <w:numId w:val="3"/>
              </w:numPr>
              <w:rPr>
                <w:rFonts w:hint="eastAsia" w:ascii="宋体" w:hAnsi="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拥有副主任医师职称、拥有1人得3分，满分3分；</w:t>
            </w:r>
          </w:p>
          <w:p>
            <w:pPr>
              <w:numPr>
                <w:ilvl w:val="0"/>
                <w:numId w:val="3"/>
              </w:numPr>
              <w:rPr>
                <w:rFonts w:hint="eastAsia" w:ascii="宋体" w:hAnsi="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高级工程师职称，拥有1人得2分，满分2分；</w:t>
            </w:r>
          </w:p>
          <w:p>
            <w:pPr>
              <w:numPr>
                <w:ilvl w:val="0"/>
                <w:numId w:val="0"/>
              </w:numPr>
              <w:rPr>
                <w:rFonts w:hint="eastAsia" w:ascii="宋体" w:hAnsi="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4.拥有中级证书，1人得1分，满分5分；</w:t>
            </w:r>
          </w:p>
          <w:p>
            <w:pPr>
              <w:numPr>
                <w:ilvl w:val="0"/>
                <w:numId w:val="0"/>
              </w:numPr>
              <w:rPr>
                <w:rFonts w:hint="default" w:ascii="宋体" w:hAnsi="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5.具有助理工程师，1人得0.5分，满分5分。</w:t>
            </w:r>
          </w:p>
        </w:tc>
        <w:tc>
          <w:tcPr>
            <w:tcW w:w="890" w:type="dxa"/>
            <w:noWrap w:val="0"/>
            <w:vAlign w:val="top"/>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hint="eastAsia" w:ascii="宋体" w:hAnsi="宋体"/>
                <w:szCs w:val="21"/>
                <w:highlight w:val="none"/>
              </w:rPr>
            </w:pPr>
            <w:r>
              <w:rPr>
                <w:rFonts w:hint="eastAsia" w:ascii="宋体" w:hAnsi="宋体"/>
                <w:szCs w:val="21"/>
                <w:highlight w:val="none"/>
              </w:rPr>
              <w:t>3</w:t>
            </w:r>
          </w:p>
        </w:tc>
        <w:tc>
          <w:tcPr>
            <w:tcW w:w="1384" w:type="dxa"/>
            <w:noWrap w:val="0"/>
            <w:vAlign w:val="center"/>
          </w:tcPr>
          <w:p>
            <w:pPr>
              <w:jc w:val="center"/>
              <w:rPr>
                <w:rFonts w:hint="eastAsia" w:ascii="宋体" w:hAnsi="宋体"/>
                <w:szCs w:val="21"/>
                <w:highlight w:val="none"/>
              </w:rPr>
            </w:pPr>
            <w:r>
              <w:rPr>
                <w:rFonts w:hint="eastAsia" w:ascii="宋体" w:hAnsi="宋体"/>
                <w:szCs w:val="21"/>
                <w:highlight w:val="none"/>
              </w:rPr>
              <w:t>业绩</w:t>
            </w:r>
          </w:p>
          <w:p>
            <w:pPr>
              <w:jc w:val="center"/>
              <w:rPr>
                <w:rFonts w:hint="eastAsia" w:ascii="宋体" w:hAnsi="宋体"/>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22</w:t>
            </w:r>
            <w:r>
              <w:rPr>
                <w:rFonts w:hint="eastAsia" w:ascii="宋体" w:hAnsi="宋体"/>
                <w:szCs w:val="21"/>
                <w:highlight w:val="none"/>
              </w:rPr>
              <w:t>分）</w:t>
            </w:r>
          </w:p>
        </w:tc>
        <w:tc>
          <w:tcPr>
            <w:tcW w:w="5570" w:type="dxa"/>
            <w:noWrap w:val="0"/>
            <w:vAlign w:val="center"/>
          </w:tcPr>
          <w:p>
            <w:pPr>
              <w:rPr>
                <w:rFonts w:hint="eastAsia" w:ascii="宋体" w:cs="宋体"/>
                <w:szCs w:val="21"/>
                <w:highlight w:val="none"/>
                <w:lang w:val="en-US" w:eastAsia="zh-CN"/>
              </w:rPr>
            </w:pPr>
            <w:r>
              <w:rPr>
                <w:rFonts w:hint="eastAsia" w:ascii="宋体" w:cs="宋体"/>
                <w:szCs w:val="21"/>
                <w:highlight w:val="none"/>
                <w:lang w:val="en-US" w:eastAsia="zh-CN"/>
              </w:rPr>
              <w:t>2022年1月1日至今承揽过洁净室类似项业绩，每个得3.5分；</w:t>
            </w:r>
          </w:p>
          <w:p>
            <w:pPr>
              <w:rPr>
                <w:rFonts w:hint="default" w:ascii="宋体" w:cs="宋体"/>
                <w:szCs w:val="21"/>
                <w:highlight w:val="none"/>
                <w:lang w:val="en-US"/>
              </w:rPr>
            </w:pPr>
            <w:r>
              <w:rPr>
                <w:rFonts w:hint="eastAsia" w:ascii="宋体" w:cs="宋体"/>
                <w:szCs w:val="21"/>
                <w:highlight w:val="none"/>
                <w:lang w:val="en-US" w:eastAsia="zh-CN"/>
              </w:rPr>
              <w:t>其中医院类手术洁净室，每个额外加1.5分。</w:t>
            </w:r>
          </w:p>
          <w:p>
            <w:pPr>
              <w:rPr>
                <w:rFonts w:hint="eastAsia" w:ascii="宋体" w:cs="宋体"/>
                <w:szCs w:val="21"/>
                <w:highlight w:val="none"/>
              </w:rPr>
            </w:pPr>
            <w:r>
              <w:rPr>
                <w:rFonts w:hint="eastAsia" w:ascii="宋体" w:hAnsi="宋体" w:cs="宋体"/>
                <w:color w:val="000000"/>
                <w:kern w:val="0"/>
                <w:szCs w:val="21"/>
                <w:highlight w:val="none"/>
              </w:rPr>
              <w:t>本项满分</w:t>
            </w:r>
            <w:r>
              <w:rPr>
                <w:rFonts w:hint="eastAsia" w:ascii="宋体" w:hAnsi="宋体" w:cs="宋体"/>
                <w:color w:val="000000"/>
                <w:kern w:val="0"/>
                <w:szCs w:val="21"/>
                <w:highlight w:val="none"/>
                <w:lang w:val="en-US" w:eastAsia="zh-CN"/>
              </w:rPr>
              <w:t>22</w:t>
            </w:r>
            <w:r>
              <w:rPr>
                <w:rFonts w:hint="eastAsia" w:ascii="宋体" w:hAnsi="宋体" w:cs="宋体"/>
                <w:color w:val="000000"/>
                <w:kern w:val="0"/>
                <w:szCs w:val="21"/>
                <w:highlight w:val="none"/>
              </w:rPr>
              <w:t>分。</w:t>
            </w:r>
          </w:p>
          <w:p>
            <w:pPr>
              <w:rPr>
                <w:rFonts w:hint="eastAsia" w:ascii="宋体" w:hAnsi="宋体" w:cs="宋体"/>
                <w:kern w:val="2"/>
                <w:sz w:val="21"/>
                <w:szCs w:val="21"/>
                <w:highlight w:val="none"/>
                <w:lang w:val="en-US" w:eastAsia="zh-CN" w:bidi="ar-SA"/>
              </w:rPr>
            </w:pPr>
            <w:r>
              <w:rPr>
                <w:rFonts w:hint="eastAsia" w:ascii="宋体" w:cs="宋体"/>
                <w:szCs w:val="21"/>
                <w:highlight w:val="none"/>
              </w:rPr>
              <w:t>证明材料：</w:t>
            </w:r>
            <w:r>
              <w:rPr>
                <w:rFonts w:hint="eastAsia" w:ascii="宋体" w:cs="宋体"/>
                <w:szCs w:val="21"/>
                <w:highlight w:val="none"/>
                <w:lang w:val="en-US" w:eastAsia="zh-CN"/>
              </w:rPr>
              <w:t>参选文件中提供加盖公章合同复印件，时间以合同签订时间为准。</w:t>
            </w:r>
          </w:p>
        </w:tc>
        <w:tc>
          <w:tcPr>
            <w:tcW w:w="890"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38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项目方案</w:t>
            </w:r>
          </w:p>
          <w:p>
            <w:pPr>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570" w:type="dxa"/>
            <w:noWrap w:val="0"/>
            <w:vAlign w:val="center"/>
          </w:tcPr>
          <w:p>
            <w:pPr>
              <w:numPr>
                <w:ilvl w:val="0"/>
                <w:numId w:val="0"/>
              </w:numPr>
              <w:autoSpaceDE w:val="0"/>
              <w:autoSpaceDN w:val="0"/>
              <w:adjustRightInd w:val="0"/>
              <w:snapToGrid w:val="0"/>
              <w:ind w:leftChars="0"/>
              <w:jc w:val="left"/>
              <w:rPr>
                <w:rFonts w:hint="eastAsia" w:ascii="宋体" w:hAnsi="宋体"/>
                <w:color w:val="auto"/>
                <w:sz w:val="21"/>
                <w:szCs w:val="21"/>
                <w:highlight w:val="none"/>
              </w:rPr>
            </w:pPr>
            <w:r>
              <w:rPr>
                <w:rFonts w:hint="eastAsia" w:ascii="宋体" w:hAnsi="宋体"/>
                <w:color w:val="auto"/>
                <w:sz w:val="21"/>
                <w:szCs w:val="21"/>
                <w:highlight w:val="none"/>
              </w:rPr>
              <w:t>要求：</w:t>
            </w:r>
          </w:p>
          <w:p>
            <w:pPr>
              <w:numPr>
                <w:ilvl w:val="0"/>
                <w:numId w:val="0"/>
              </w:numPr>
              <w:autoSpaceDE w:val="0"/>
              <w:autoSpaceDN w:val="0"/>
              <w:adjustRightInd w:val="0"/>
              <w:snapToGrid w:val="0"/>
              <w:ind w:leftChars="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项目管理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项目</w:t>
            </w:r>
            <w:r>
              <w:rPr>
                <w:rFonts w:hint="eastAsia" w:ascii="宋体" w:hAnsi="宋体"/>
                <w:color w:val="auto"/>
                <w:sz w:val="21"/>
                <w:szCs w:val="21"/>
                <w:highlight w:val="none"/>
              </w:rPr>
              <w:t>目标明确，工作内容完整、准确、清晰；措施要点明确。（较好得3～4分；一般得1～2分；差得0分）</w:t>
            </w:r>
          </w:p>
          <w:p>
            <w:pPr>
              <w:numPr>
                <w:ilvl w:val="0"/>
                <w:numId w:val="0"/>
              </w:numPr>
              <w:autoSpaceDE w:val="0"/>
              <w:autoSpaceDN w:val="0"/>
              <w:adjustRightInd w:val="0"/>
              <w:snapToGrid w:val="0"/>
              <w:ind w:leftChars="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有明确的组织形式及职能分工，人员结构合理、职责任务明确，满足管理工作内容需要。（较好得3～4分；一般得1～2分；差得0分）</w:t>
            </w:r>
          </w:p>
          <w:p>
            <w:pPr>
              <w:numPr>
                <w:ilvl w:val="0"/>
                <w:numId w:val="0"/>
              </w:numPr>
              <w:autoSpaceDE w:val="0"/>
              <w:autoSpaceDN w:val="0"/>
              <w:adjustRightInd w:val="0"/>
              <w:snapToGrid w:val="0"/>
              <w:ind w:leftChars="0"/>
              <w:jc w:val="left"/>
              <w:rPr>
                <w:rFonts w:hint="eastAsia" w:ascii="仿宋" w:hAnsi="仿宋" w:eastAsia="仿宋" w:cs="仿宋"/>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工作程序合理</w:t>
            </w:r>
            <w:r>
              <w:rPr>
                <w:rFonts w:hint="eastAsia" w:ascii="宋体" w:hAnsi="宋体"/>
                <w:color w:val="auto"/>
                <w:sz w:val="21"/>
                <w:szCs w:val="21"/>
                <w:highlight w:val="none"/>
                <w:lang w:eastAsia="zh-CN"/>
              </w:rPr>
              <w:t>：</w:t>
            </w:r>
            <w:r>
              <w:rPr>
                <w:rFonts w:hint="eastAsia" w:ascii="宋体" w:hAnsi="宋体"/>
                <w:color w:val="auto"/>
                <w:sz w:val="21"/>
                <w:szCs w:val="21"/>
                <w:highlight w:val="none"/>
              </w:rPr>
              <w:t>对项目管理工作范围内的手续办理、设计管理及工程实施阶段管理控制目标明确，有预控措施，工作内容及特点理解透彻，控制措施及工作制度表述清晰、完整、合理、适用</w:t>
            </w:r>
            <w:r>
              <w:rPr>
                <w:rFonts w:hint="eastAsia" w:ascii="宋体" w:hAnsi="宋体" w:cs="宋体"/>
                <w:color w:val="auto"/>
                <w:sz w:val="21"/>
                <w:szCs w:val="21"/>
                <w:highlight w:val="none"/>
              </w:rPr>
              <w:t>。（较好得3～4分；一般得1～2分；差得0分）</w:t>
            </w:r>
          </w:p>
          <w:p>
            <w:pPr>
              <w:numPr>
                <w:ilvl w:val="0"/>
                <w:numId w:val="0"/>
              </w:numPr>
              <w:autoSpaceDE w:val="0"/>
              <w:autoSpaceDN w:val="0"/>
              <w:adjustRightInd w:val="0"/>
              <w:snapToGrid w:val="0"/>
              <w:ind w:leftChars="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评委根据方案优劣进行打分，没有项目方案得 0 分</w:t>
            </w:r>
          </w:p>
          <w:p>
            <w:pPr>
              <w:numPr>
                <w:ilvl w:val="0"/>
                <w:numId w:val="0"/>
              </w:numPr>
              <w:autoSpaceDE w:val="0"/>
              <w:autoSpaceDN w:val="0"/>
              <w:adjustRightInd w:val="0"/>
              <w:ind w:leftChars="0"/>
              <w:jc w:val="left"/>
              <w:rPr>
                <w:rFonts w:hint="eastAsia" w:ascii="宋体" w:hAnsi="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本项满分</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tc>
        <w:tc>
          <w:tcPr>
            <w:tcW w:w="890" w:type="dxa"/>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38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其他</w:t>
            </w:r>
          </w:p>
          <w:p>
            <w:pPr>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（满分</w:t>
            </w:r>
            <w:r>
              <w:rPr>
                <w:rFonts w:hint="eastAsia" w:ascii="宋体" w:hAnsi="宋体"/>
                <w:color w:val="auto"/>
                <w:szCs w:val="21"/>
                <w:highlight w:val="none"/>
                <w:lang w:val="en-US" w:eastAsia="zh-CN"/>
              </w:rPr>
              <w:t>18</w:t>
            </w:r>
            <w:r>
              <w:rPr>
                <w:rFonts w:hint="eastAsia" w:ascii="宋体" w:hAnsi="宋体"/>
                <w:color w:val="auto"/>
                <w:szCs w:val="21"/>
                <w:highlight w:val="none"/>
              </w:rPr>
              <w:t>分）</w:t>
            </w:r>
          </w:p>
        </w:tc>
        <w:tc>
          <w:tcPr>
            <w:tcW w:w="5570" w:type="dxa"/>
            <w:noWrap w:val="0"/>
            <w:vAlign w:val="center"/>
          </w:tcPr>
          <w:p>
            <w:pPr>
              <w:numPr>
                <w:ilvl w:val="0"/>
                <w:numId w:val="4"/>
              </w:numPr>
              <w:rPr>
                <w:rFonts w:hint="eastAsia"/>
                <w:color w:val="auto"/>
                <w:highlight w:val="none"/>
                <w:lang w:val="en-US" w:eastAsia="zh-CN"/>
              </w:rPr>
            </w:pPr>
            <w:r>
              <w:rPr>
                <w:rFonts w:hint="eastAsia"/>
                <w:color w:val="auto"/>
                <w:highlight w:val="none"/>
                <w:lang w:val="en-US" w:eastAsia="zh-CN"/>
              </w:rPr>
              <w:t>投标人参与环境类能力比对每有一项得1分，本项最高得 10分。</w:t>
            </w:r>
          </w:p>
          <w:p>
            <w:pPr>
              <w:numPr>
                <w:ilvl w:val="0"/>
                <w:numId w:val="4"/>
              </w:numPr>
              <w:rPr>
                <w:rFonts w:hint="eastAsia"/>
                <w:color w:val="auto"/>
                <w:highlight w:val="none"/>
                <w:lang w:val="en-US" w:eastAsia="zh-CN"/>
              </w:rPr>
            </w:pPr>
            <w:r>
              <w:rPr>
                <w:rFonts w:hint="eastAsia"/>
                <w:color w:val="auto"/>
                <w:highlight w:val="none"/>
                <w:lang w:val="en-US" w:eastAsia="zh-CN"/>
              </w:rPr>
              <w:t>拥有环境空气类能力比对，每有一项额外增加1分。</w:t>
            </w:r>
          </w:p>
          <w:p>
            <w:pPr>
              <w:rPr>
                <w:rFonts w:hint="eastAsia"/>
                <w:color w:val="auto"/>
                <w:highlight w:val="none"/>
                <w:lang w:val="en-US" w:eastAsia="zh-CN"/>
              </w:rPr>
            </w:pPr>
            <w:r>
              <w:rPr>
                <w:rFonts w:hint="eastAsia"/>
                <w:color w:val="auto"/>
                <w:highlight w:val="none"/>
                <w:lang w:val="en-US" w:eastAsia="zh-CN"/>
              </w:rPr>
              <w:t>2.具有高新技术企业资质得2分。</w:t>
            </w:r>
          </w:p>
          <w:p>
            <w:pPr>
              <w:rPr>
                <w:rFonts w:hint="eastAsia"/>
                <w:color w:val="auto"/>
                <w:highlight w:val="none"/>
                <w:lang w:val="en-US" w:eastAsia="zh-CN"/>
              </w:rPr>
            </w:pPr>
            <w:r>
              <w:rPr>
                <w:rFonts w:hint="eastAsia"/>
                <w:color w:val="auto"/>
                <w:highlight w:val="none"/>
                <w:lang w:val="en-US" w:eastAsia="zh-CN"/>
              </w:rPr>
              <w:t>3.具有环境管理体系认证证书、职业健康安全管理体系认证证书、质量管理体系认证证书，得2分。</w:t>
            </w:r>
          </w:p>
          <w:p>
            <w:pPr>
              <w:rPr>
                <w:rFonts w:hint="default"/>
                <w:color w:val="auto"/>
                <w:highlight w:val="none"/>
                <w:lang w:val="en-US" w:eastAsia="zh-CN"/>
              </w:rPr>
            </w:pPr>
            <w:r>
              <w:rPr>
                <w:rFonts w:hint="eastAsia"/>
                <w:color w:val="auto"/>
                <w:highlight w:val="none"/>
                <w:lang w:val="en-US" w:eastAsia="zh-CN"/>
              </w:rPr>
              <w:t>4.具有海南省生态环境监测协会会员单位证书得1分。</w:t>
            </w:r>
          </w:p>
          <w:p>
            <w:pPr>
              <w:autoSpaceDE w:val="0"/>
              <w:autoSpaceDN w:val="0"/>
              <w:adjustRightInd w:val="0"/>
              <w:snapToGrid w:val="0"/>
              <w:jc w:val="left"/>
              <w:rPr>
                <w:rFonts w:hint="eastAsia"/>
                <w:highlight w:val="none"/>
                <w:lang w:val="en-US" w:eastAsia="zh-CN"/>
              </w:rPr>
            </w:pPr>
            <w:r>
              <w:rPr>
                <w:rFonts w:hint="eastAsia" w:ascii="宋体" w:hAnsi="宋体" w:cs="宋体"/>
                <w:color w:val="auto"/>
                <w:kern w:val="0"/>
                <w:szCs w:val="21"/>
                <w:highlight w:val="none"/>
              </w:rPr>
              <w:t>本项满分</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分。</w:t>
            </w:r>
          </w:p>
        </w:tc>
        <w:tc>
          <w:tcPr>
            <w:tcW w:w="890" w:type="dxa"/>
            <w:noWrap w:val="0"/>
            <w:vAlign w:val="top"/>
          </w:tcPr>
          <w:p>
            <w:pPr>
              <w:rPr>
                <w:rFonts w:hint="eastAsia" w:ascii="宋体" w:hAnsi="宋体"/>
                <w:szCs w:val="21"/>
                <w:highlight w:val="none"/>
              </w:rPr>
            </w:pPr>
          </w:p>
        </w:tc>
      </w:tr>
    </w:tbl>
    <w:p>
      <w:pPr>
        <w:rPr>
          <w:rFonts w:hint="eastAsia"/>
          <w:highlight w:val="none"/>
        </w:rPr>
      </w:pPr>
      <w:r>
        <w:rPr>
          <w:rFonts w:hint="eastAsia"/>
          <w:highlight w:val="none"/>
        </w:rPr>
        <w:t>备注：1、以各位评委的评分值计算出每家参选单位的平均得分值；</w:t>
      </w:r>
    </w:p>
    <w:p>
      <w:pPr>
        <w:rPr>
          <w:rFonts w:hint="eastAsia" w:eastAsiaTheme="minorEastAsia"/>
          <w:highlight w:val="none"/>
          <w:lang w:eastAsia="zh-CN"/>
        </w:rPr>
      </w:pPr>
      <w:r>
        <w:rPr>
          <w:rFonts w:hint="eastAsia"/>
          <w:highlight w:val="none"/>
        </w:rPr>
        <w:t xml:space="preserve">      2、平均得分值最高者为中标人。</w:t>
      </w:r>
    </w:p>
    <w:sectPr>
      <w:footerReference r:id="rId3" w:type="default"/>
      <w:pgSz w:w="11906" w:h="16838"/>
      <w:pgMar w:top="1417" w:right="1417" w:bottom="1417" w:left="1417" w:header="851" w:footer="992" w:gutter="0"/>
      <w:pgNumType w:fmt="numberInDash"/>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4893310</wp:posOffset>
              </wp:positionH>
              <wp:positionV relativeFrom="paragraph">
                <wp:posOffset>-104140</wp:posOffset>
              </wp:positionV>
              <wp:extent cx="723265" cy="235585"/>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723265" cy="235585"/>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lIns="0" tIns="0" rIns="0" bIns="0" upright="true"/>
                  </wps:wsp>
                </a:graphicData>
              </a:graphic>
            </wp:anchor>
          </w:drawing>
        </mc:Choice>
        <mc:Fallback>
          <w:pict>
            <v:shape id="文本框 1" o:spid="_x0000_s1026" o:spt="202" type="#_x0000_t202" style="position:absolute;left:0pt;margin-left:385.3pt;margin-top:-8.2pt;height:18.55pt;width:56.95pt;mso-position-horizontal-relative:margin;z-index:251660288;mso-width-relative:page;mso-height-relative:page;" filled="f" stroked="f" coordsize="21600,21600" o:gfxdata="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9817vaAAAACgEAAA8AAAAAAAAAAQAgAAAAOAAAAGRycy9kb3du&#10;cmV2LnhtbFBLAQIUABQAAAAIAIdO4kAGo4SUrgEAADwDAAAOAAAAAAAAAAEAIAAAAD8BAABkcnMv&#10;ZTJvRG9jLnhtbFBLBQYAAAAABgAGAFkBAABfBQAAAAA=&#10;">
              <v:fill on="f" focussize="0,0"/>
              <v:stroke on="f" joinstyle="miter"/>
              <v:imagedata o:title=""/>
              <o:lock v:ext="edit" aspectratio="f"/>
              <v:textbox inset="0mm,0mm,0mm,0mm">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7310" cy="153035"/>
                      </a:xfrm>
                      <a:prstGeom prst="rect">
                        <a:avLst/>
                      </a:prstGeom>
                      <a:noFill/>
                      <a:ln w="9525">
                        <a:noFill/>
                        <a:miter/>
                      </a:ln>
                    </wps:spPr>
                    <wps:txbx>
                      <w:txbxContent>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nqzVF0AAAAAMBAAAPAAAAAAAAAAEAIAAAADgAAABk&#10;cnMvZG93bnJldi54bWxQSwECFAAUAAAACACHTuJA7VvMpb8BAABhAwAADgAAAAAAAAABACAAAAA1&#10;AQAAZHJzL2Uyb0RvYy54bWxQSwUGAAAAAAYABgBZAQAAZgUAAAAA&#10;">
              <v:fill on="f" focussize="0,0"/>
              <v:stroke on="f" joinstyle="miter"/>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5E06B"/>
    <w:multiLevelType w:val="singleLevel"/>
    <w:tmpl w:val="8585E06B"/>
    <w:lvl w:ilvl="0" w:tentative="0">
      <w:start w:val="1"/>
      <w:numFmt w:val="decimal"/>
      <w:lvlText w:val="%1."/>
      <w:lvlJc w:val="left"/>
      <w:pPr>
        <w:tabs>
          <w:tab w:val="left" w:pos="312"/>
        </w:tabs>
      </w:pPr>
    </w:lvl>
  </w:abstractNum>
  <w:abstractNum w:abstractNumId="1">
    <w:nsid w:val="9B0B1132"/>
    <w:multiLevelType w:val="singleLevel"/>
    <w:tmpl w:val="9B0B1132"/>
    <w:lvl w:ilvl="0" w:tentative="0">
      <w:start w:val="1"/>
      <w:numFmt w:val="decimal"/>
      <w:lvlText w:val="%1."/>
      <w:lvlJc w:val="left"/>
      <w:pPr>
        <w:tabs>
          <w:tab w:val="left" w:pos="312"/>
        </w:tabs>
      </w:pPr>
    </w:lvl>
  </w:abstractNum>
  <w:abstractNum w:abstractNumId="2">
    <w:nsid w:val="365507BC"/>
    <w:multiLevelType w:val="singleLevel"/>
    <w:tmpl w:val="365507BC"/>
    <w:lvl w:ilvl="0" w:tentative="0">
      <w:start w:val="2"/>
      <w:numFmt w:val="chineseCounting"/>
      <w:suff w:val="nothing"/>
      <w:lvlText w:val="（%1）"/>
      <w:lvlJc w:val="left"/>
      <w:rPr>
        <w:rFonts w:hint="eastAsia"/>
      </w:rPr>
    </w:lvl>
  </w:abstractNum>
  <w:abstractNum w:abstractNumId="3">
    <w:nsid w:val="4F430A9C"/>
    <w:multiLevelType w:val="multilevel"/>
    <w:tmpl w:val="4F430A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6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YWRlY2U5YmNkMTY2NjdiNGIwZDRiZjVkYmNhMWQifQ=="/>
  </w:docVars>
  <w:rsids>
    <w:rsidRoot w:val="395079D4"/>
    <w:rsid w:val="00103DB4"/>
    <w:rsid w:val="001063EB"/>
    <w:rsid w:val="00AA0660"/>
    <w:rsid w:val="00B00196"/>
    <w:rsid w:val="00B95AEA"/>
    <w:rsid w:val="00EC5C2F"/>
    <w:rsid w:val="01B22290"/>
    <w:rsid w:val="02294DE2"/>
    <w:rsid w:val="045B5AC2"/>
    <w:rsid w:val="06383911"/>
    <w:rsid w:val="07154666"/>
    <w:rsid w:val="08A01DFB"/>
    <w:rsid w:val="0C320E34"/>
    <w:rsid w:val="0CAE6036"/>
    <w:rsid w:val="0E4079A5"/>
    <w:rsid w:val="0E740FDF"/>
    <w:rsid w:val="0E8335BD"/>
    <w:rsid w:val="0FA82EA7"/>
    <w:rsid w:val="104B76BD"/>
    <w:rsid w:val="12A817A0"/>
    <w:rsid w:val="1343003E"/>
    <w:rsid w:val="14EB5646"/>
    <w:rsid w:val="17536B25"/>
    <w:rsid w:val="18526BCC"/>
    <w:rsid w:val="18852326"/>
    <w:rsid w:val="19604F17"/>
    <w:rsid w:val="196355F7"/>
    <w:rsid w:val="19CA7875"/>
    <w:rsid w:val="1ED5093A"/>
    <w:rsid w:val="21926605"/>
    <w:rsid w:val="222014E6"/>
    <w:rsid w:val="22862C8A"/>
    <w:rsid w:val="23567FF2"/>
    <w:rsid w:val="25726FA3"/>
    <w:rsid w:val="263E1761"/>
    <w:rsid w:val="27B10487"/>
    <w:rsid w:val="2A2022D6"/>
    <w:rsid w:val="2B4A2451"/>
    <w:rsid w:val="2B977BFF"/>
    <w:rsid w:val="2C31511D"/>
    <w:rsid w:val="2D352642"/>
    <w:rsid w:val="2EDB384E"/>
    <w:rsid w:val="31487F49"/>
    <w:rsid w:val="33C8263A"/>
    <w:rsid w:val="33E57FBD"/>
    <w:rsid w:val="343E5CE2"/>
    <w:rsid w:val="348721D3"/>
    <w:rsid w:val="36B874C7"/>
    <w:rsid w:val="38105AA6"/>
    <w:rsid w:val="393E2B99"/>
    <w:rsid w:val="395079D4"/>
    <w:rsid w:val="3B057C5A"/>
    <w:rsid w:val="3D222F5B"/>
    <w:rsid w:val="3D6A6A7B"/>
    <w:rsid w:val="3D8263C1"/>
    <w:rsid w:val="3EC77DCA"/>
    <w:rsid w:val="3F542BE1"/>
    <w:rsid w:val="4524766B"/>
    <w:rsid w:val="45E919F2"/>
    <w:rsid w:val="47A1656B"/>
    <w:rsid w:val="495C21E0"/>
    <w:rsid w:val="4D001569"/>
    <w:rsid w:val="4D824513"/>
    <w:rsid w:val="4F6C258D"/>
    <w:rsid w:val="4F740216"/>
    <w:rsid w:val="52183238"/>
    <w:rsid w:val="53032402"/>
    <w:rsid w:val="538623CE"/>
    <w:rsid w:val="56134854"/>
    <w:rsid w:val="575B2E48"/>
    <w:rsid w:val="587F068C"/>
    <w:rsid w:val="5AD57BA0"/>
    <w:rsid w:val="5C770E69"/>
    <w:rsid w:val="5C9C51EC"/>
    <w:rsid w:val="5D7100B0"/>
    <w:rsid w:val="5DBA00FB"/>
    <w:rsid w:val="5F285249"/>
    <w:rsid w:val="62E1148E"/>
    <w:rsid w:val="639D4654"/>
    <w:rsid w:val="64CB6E3C"/>
    <w:rsid w:val="6572292C"/>
    <w:rsid w:val="671D7ABC"/>
    <w:rsid w:val="69523A75"/>
    <w:rsid w:val="696E145E"/>
    <w:rsid w:val="6AC17CC8"/>
    <w:rsid w:val="6AC31319"/>
    <w:rsid w:val="6B6006B1"/>
    <w:rsid w:val="6DD0735F"/>
    <w:rsid w:val="6EF05837"/>
    <w:rsid w:val="6F6366E2"/>
    <w:rsid w:val="71D648F9"/>
    <w:rsid w:val="72EE46AD"/>
    <w:rsid w:val="73FC19B8"/>
    <w:rsid w:val="7623481D"/>
    <w:rsid w:val="76F35BB2"/>
    <w:rsid w:val="76FE38E0"/>
    <w:rsid w:val="787029C3"/>
    <w:rsid w:val="7A2D6D03"/>
    <w:rsid w:val="7C2865BB"/>
    <w:rsid w:val="7D794444"/>
    <w:rsid w:val="7D947E9F"/>
    <w:rsid w:val="7F9766CF"/>
    <w:rsid w:val="D9F9D9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20" w:lineRule="exact"/>
    </w:pPr>
    <w:rPr>
      <w:rFonts w:eastAsia="仿宋_GB2312" w:cs="Times New Roman"/>
      <w:b/>
      <w:bCs/>
      <w:sz w:val="30"/>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rFonts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333333"/>
      <w:sz w:val="18"/>
      <w:szCs w:val="18"/>
      <w:u w:val="none"/>
    </w:rPr>
  </w:style>
  <w:style w:type="character" w:styleId="11">
    <w:name w:val="Emphasis"/>
    <w:basedOn w:val="8"/>
    <w:qFormat/>
    <w:uiPriority w:val="0"/>
  </w:style>
  <w:style w:type="character" w:styleId="12">
    <w:name w:val="Hyperlink"/>
    <w:basedOn w:val="8"/>
    <w:qFormat/>
    <w:uiPriority w:val="0"/>
    <w:rPr>
      <w:color w:val="333333"/>
      <w:sz w:val="18"/>
      <w:szCs w:val="18"/>
      <w:u w:val="none"/>
    </w:rPr>
  </w:style>
  <w:style w:type="character" w:customStyle="1" w:styleId="13">
    <w:name w:val="time"/>
    <w:basedOn w:val="8"/>
    <w:qFormat/>
    <w:uiPriority w:val="0"/>
  </w:style>
  <w:style w:type="character" w:customStyle="1" w:styleId="14">
    <w:name w:val="time1"/>
    <w:basedOn w:val="8"/>
    <w:qFormat/>
    <w:uiPriority w:val="0"/>
  </w:style>
  <w:style w:type="character" w:customStyle="1" w:styleId="15">
    <w:name w:val="time2"/>
    <w:basedOn w:val="8"/>
    <w:qFormat/>
    <w:uiPriority w:val="0"/>
  </w:style>
  <w:style w:type="character" w:customStyle="1" w:styleId="16">
    <w:name w:val="english"/>
    <w:basedOn w:val="8"/>
    <w:qFormat/>
    <w:uiPriority w:val="0"/>
    <w:rPr>
      <w:rFonts w:ascii="微软雅黑" w:hAnsi="微软雅黑" w:eastAsia="微软雅黑" w:cs="微软雅黑"/>
      <w:i/>
      <w:caps/>
      <w:color w:val="9E9E9E"/>
      <w:sz w:val="21"/>
      <w:szCs w:val="21"/>
    </w:rPr>
  </w:style>
  <w:style w:type="character" w:customStyle="1" w:styleId="17">
    <w:name w:val="english1"/>
    <w:basedOn w:val="8"/>
    <w:qFormat/>
    <w:uiPriority w:val="0"/>
    <w:rPr>
      <w:rFonts w:hint="eastAsia" w:ascii="微软雅黑" w:hAnsi="微软雅黑" w:eastAsia="微软雅黑" w:cs="微软雅黑"/>
      <w:color w:val="000000"/>
      <w:sz w:val="12"/>
      <w:szCs w:val="12"/>
    </w:rPr>
  </w:style>
  <w:style w:type="character" w:customStyle="1" w:styleId="18">
    <w:name w:val="english2"/>
    <w:basedOn w:val="8"/>
    <w:qFormat/>
    <w:uiPriority w:val="0"/>
    <w:rPr>
      <w:rFonts w:hint="eastAsia" w:ascii="微软雅黑" w:hAnsi="微软雅黑" w:eastAsia="微软雅黑" w:cs="微软雅黑"/>
      <w:i/>
      <w:caps/>
      <w:color w:val="9E9E9E"/>
      <w:sz w:val="21"/>
      <w:szCs w:val="21"/>
    </w:rPr>
  </w:style>
  <w:style w:type="character" w:customStyle="1" w:styleId="19">
    <w:name w:val="页眉 字符"/>
    <w:basedOn w:val="8"/>
    <w:link w:val="5"/>
    <w:qFormat/>
    <w:uiPriority w:val="0"/>
    <w:rPr>
      <w:rFonts w:eastAsiaTheme="minorEastAsia" w:cstheme="minorBidi"/>
      <w:kern w:val="2"/>
      <w:sz w:val="18"/>
      <w:szCs w:val="18"/>
    </w:rPr>
  </w:style>
  <w:style w:type="character" w:customStyle="1" w:styleId="20">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1986</Words>
  <Characters>2168</Characters>
  <Lines>2</Lines>
  <Paragraphs>1</Paragraphs>
  <TotalTime>10</TotalTime>
  <ScaleCrop>false</ScaleCrop>
  <LinksUpToDate>false</LinksUpToDate>
  <CharactersWithSpaces>2183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2019-03-13T15:53:00Z</dcterms:created>
  <dc:creator>12345</dc:creator>
  <cp:lastModifiedBy>btzbh1234</cp:lastModifiedBy>
  <cp:lastPrinted>2022-03-28T09:47:00Z</cp:lastPrinted>
  <dcterms:modified xsi:type="dcterms:W3CDTF">2024-07-03T15:22:06Z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A52E187B902941DBA977257DD8CF0AF7_13</vt:lpwstr>
  </property>
</Properties>
</file>