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1"/>
        <w:rPr>
          <w:rFonts w:ascii="宋体" w:hAnsi="宋体" w:eastAsia="宋体" w:cs="宋体"/>
          <w:b/>
          <w:bCs/>
          <w:color w:val="000000" w:themeColor="text1"/>
          <w:kern w:val="0"/>
          <w:sz w:val="44"/>
          <w:szCs w:val="44"/>
        </w:rPr>
      </w:pPr>
    </w:p>
    <w:p>
      <w:pPr>
        <w:pStyle w:val="10"/>
        <w:widowControl/>
        <w:ind w:left="1023" w:firstLine="0" w:firstLineChars="0"/>
        <w:jc w:val="center"/>
        <w:outlineLvl w:val="1"/>
        <w:rPr>
          <w:rFonts w:hint="default" w:ascii="宋体" w:hAnsi="宋体" w:eastAsia="宋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基本公共卫生服务补助资金</w:t>
      </w:r>
    </w:p>
    <w:p>
      <w:pPr>
        <w:pStyle w:val="10"/>
        <w:widowControl/>
        <w:ind w:left="1023" w:firstLine="0" w:firstLineChars="0"/>
        <w:jc w:val="center"/>
        <w:outlineLvl w:val="1"/>
        <w:rPr>
          <w:rFonts w:ascii="宋体" w:hAnsi="宋体" w:eastAsia="宋体" w:cs="宋体"/>
          <w:b/>
          <w:bCs/>
          <w:color w:val="000000" w:themeColor="text1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</w:rPr>
        <w:t>项目支出绩效评价报告</w:t>
      </w:r>
    </w:p>
    <w:p>
      <w:pPr>
        <w:widowControl/>
        <w:jc w:val="center"/>
        <w:outlineLvl w:val="1"/>
        <w:rPr>
          <w:rFonts w:ascii="宋体" w:hAnsi="宋体" w:eastAsia="宋体" w:cs="宋体"/>
          <w:b/>
          <w:bCs/>
          <w:color w:val="000000" w:themeColor="text1"/>
          <w:kern w:val="0"/>
          <w:sz w:val="44"/>
          <w:szCs w:val="44"/>
        </w:rPr>
      </w:pPr>
    </w:p>
    <w:p>
      <w:pPr>
        <w:widowControl/>
        <w:spacing w:line="408" w:lineRule="atLeast"/>
        <w:ind w:firstLine="480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一、基本情况</w:t>
      </w:r>
    </w:p>
    <w:p>
      <w:pPr>
        <w:widowControl/>
        <w:spacing w:line="408" w:lineRule="atLeast"/>
        <w:ind w:firstLine="480"/>
        <w:rPr>
          <w:rFonts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（一）项目概况</w:t>
      </w:r>
    </w:p>
    <w:p>
      <w:pPr>
        <w:widowControl/>
        <w:spacing w:line="408" w:lineRule="atLeast"/>
        <w:ind w:left="319" w:leftChars="152" w:firstLine="640" w:firstLineChars="200"/>
        <w:rPr>
          <w:rFonts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基本公共卫生服务补助资金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项目包括：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0-6岁儿童、孕产妇、老年人、慢病患者等重点人群健康管理、中医药健康管理、居民健康档案管理、健康教育、预防接种服务、地方病防治、职业病防治。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为落实省委、省政府重点民生实事项目，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做好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2023年基本公共卫生服务项目工作，细化实化实施计划，明确月度、季度、年度目标任务，成立了基本公共卫生服务项目考核领导小组，负责对我站基本公共卫生项目进行自评、考核和指导小组。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202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年预算资金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到位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为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704520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元，实际支出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681753.71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元。支出率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96.77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%。</w:t>
      </w:r>
    </w:p>
    <w:p>
      <w:pPr>
        <w:widowControl/>
        <w:spacing w:line="408" w:lineRule="atLeast"/>
        <w:ind w:firstLine="480"/>
        <w:rPr>
          <w:rFonts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（二）项目绩效目标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、开展基本公共卫生服务项目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)、建立居民健康档案: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年累计建立居民健康档案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12111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人，规范化电子建档率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90.05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)、健康教育:</w:t>
      </w:r>
    </w:p>
    <w:p>
      <w:pPr>
        <w:ind w:left="0" w:leftChars="0"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1、印刷资料的发放: 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年共发放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10857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种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,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印刷资料共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36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份。</w:t>
      </w:r>
    </w:p>
    <w:p>
      <w:pPr>
        <w:ind w:left="1279" w:leftChars="152" w:hanging="960" w:hangingChars="3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2、设立健康教育宣传栏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个，更新健康教育宣传栏内</w:t>
      </w:r>
    </w:p>
    <w:p>
      <w:pPr>
        <w:ind w:left="1280" w:hanging="1280" w:hangingChars="4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66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次。</w:t>
      </w:r>
    </w:p>
    <w:p>
      <w:pPr>
        <w:ind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3、播放健康教育音像资料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87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种，播放健康教育音像资料的次数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240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次，共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1440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小时。</w:t>
      </w:r>
    </w:p>
    <w:p>
      <w:pPr>
        <w:ind w:firstLine="320" w:firstLineChars="10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4、举办健康知识讲座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20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次，讲座参加人员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875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人次。</w:t>
      </w:r>
    </w:p>
    <w:p>
      <w:pPr>
        <w:ind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5、开展公众咨询活动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次，参加咨询活动人员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607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次。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)、预防接种:</w:t>
      </w:r>
    </w:p>
    <w:p>
      <w:pPr>
        <w:ind w:left="319" w:leftChars="152" w:firstLine="320" w:firstLineChars="100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年本地常住人口出生儿童全年本地常住人口出生儿童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801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人，入册建档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801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人，建册率达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%，基础接种卡介苗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%、脊髓灰质炎糖丸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%、麻疹接种率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100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%、百白破接种率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%、白破二联接种率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%、乙肝接种率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 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%、乙脑接种率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%、A 群流脑接种率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%、A+C 群流脑接种率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100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%、甲肝接种率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%，八苗全程合格接种率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，</w:t>
      </w:r>
    </w:p>
    <w:p>
      <w:pPr>
        <w:ind w:firstLine="320" w:firstLineChars="1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)、0-6 岁儿童健康管理: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年辖区内活产数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91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人，接受访视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人，新生儿访视率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97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</w:t>
      </w:r>
    </w:p>
    <w:p>
      <w:pPr>
        <w:ind w:left="638" w:leftChars="304" w:firstLine="0" w:firstLineChars="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年经统计0-6 岁儿童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801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人，年内接受一次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以上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758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随访人，健康管理率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95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)、孕产妇健康管理: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年辖区内孕产妇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88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人，其中早孕检查并建册的有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人，早孕建册率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96.7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%，出院后 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 xml:space="preserve">28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内天接受过产后访视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人，产后访视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率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96.70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3、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96.70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)、老年人健康管理: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年有 65 岁及以上常住人口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1411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人，我镇老年人目标人数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1224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人，健康管理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980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人，其中规范管理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980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人，规范管理率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69.45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)、高血压患者健康管理: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年镇高血压患者目标人群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754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人，健康管理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896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47.58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年已体检高血压患者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256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人，规范管理高血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压患者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719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人，高血压患者规范管理率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80.25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3、后一次访视血压控制满意人数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890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人，血压控制满意率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99.33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)、糖尿病患者健康管理: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年我镇糖尿病患者目标人群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410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人，健康管理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420 人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，健康管理率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36.94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left="1278" w:leftChars="304" w:hanging="640" w:hanging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 年已体检糖尿病患者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123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人，规范管理糖尿病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患者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326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人，糖尿病患者规范管理率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77.62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年最后一次访视血糖控制满意人数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288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人，血糖控制满意率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68.57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 xml:space="preserve">)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重性精神病患者管理: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年登记在册精神病患者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人，健康管理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服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药率100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年参加体检的精神病患者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71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人，健康体检率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%.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规范管理精神病患者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人，精神病患者规范管理率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)、传染病及突发公共卫生事件报告管理:</w:t>
      </w:r>
    </w:p>
    <w:p>
      <w:pPr>
        <w:ind w:left="319" w:leftChars="152"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年报告法定传染病病例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272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例(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新型冠状病毒感染98例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、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流行性感冒19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急性出血性结膜炎152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乙肝1列、流行性腮腺炎1列、AFP 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例)法定传染病报告率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%。及时报告的法定传染病病例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271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例，法定传染病及时报告率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99.63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left="319" w:leftChars="152"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年本单位无报告突发公共卫生事件。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)、卫生监督协管: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年无发现饮用水卫生安全、学校卫生线索，非法行医线索。报告卫生监督协管事件及线索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31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例，协助卫生监督部门开展饮用水卫生安全、学校卫生、非法行医和非法采供血实地巡查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共 102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次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宋体" w:hAnsi="宋体" w:cs="宋体"/>
          <w:b w:val="0"/>
          <w:bCs w:val="0"/>
          <w:sz w:val="30"/>
          <w:szCs w:val="30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  <w:t>)、中医药健康管理服务: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年0-3 岁儿童中医药健康管理人接受中医药健康管理指导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319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人，中医药健康管理率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91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年65 岁以上老年人中医药健康管理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988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人，接受中医药健康指导服务人数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988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人，老年人接受中医药健康管理率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70.02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)、结核病患者的管理: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年我场新发结核病患者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人，已健康管理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人，健康管理率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2、202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年同期完成治疗的结核病患者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人，按规则服药的结核病患者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人，结核病患者规则服药率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100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highlight w:val="none"/>
        </w:rPr>
        <w:t>)、家庭医生签约:</w:t>
      </w:r>
    </w:p>
    <w:p>
      <w:pPr>
        <w:ind w:left="319" w:leftChars="152" w:firstLine="320" w:firstLineChars="1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年居内常住人口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13355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人，完成常住人口签约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4069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人。其中:0-6岁儿童签约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58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人。65 岁以上居民签约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631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人。孕产妇签约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142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人。高血压患者签约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731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人。糖尿病患者签约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354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人。肺结核患者签约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人。精神病患者签约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人。残疾患者签约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192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人,建档立卡贫困户签约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4913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人。</w:t>
      </w:r>
    </w:p>
    <w:p>
      <w:pPr>
        <w:widowControl/>
        <w:spacing w:line="408" w:lineRule="atLeast"/>
        <w:rPr>
          <w:rFonts w:ascii="黑体" w:hAnsi="黑体" w:eastAsia="黑体" w:cs="黑体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eastAsia="zh-CN"/>
        </w:rPr>
        <w:t>　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</w:rPr>
        <w:t>二、绩效评价工作开展情</w:t>
      </w:r>
    </w:p>
    <w:p>
      <w:pPr>
        <w:widowControl/>
        <w:spacing w:line="408" w:lineRule="atLeast"/>
        <w:ind w:firstLine="480"/>
        <w:rPr>
          <w:rFonts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目的：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我院2023年实施基本公共卫生服务补助资金项目，</w:t>
      </w:r>
      <w:r>
        <w:rPr>
          <w:rFonts w:hint="eastAsia" w:ascii="仿宋_GB2312" w:hAnsi="仿宋_GB2312" w:eastAsia="仿宋_GB2312" w:cs="仿宋_GB2312"/>
          <w:bCs/>
          <w:i w:val="0"/>
          <w:caps w:val="0"/>
          <w:spacing w:val="0"/>
          <w:kern w:val="0"/>
          <w:sz w:val="30"/>
          <w:szCs w:val="30"/>
          <w:lang w:val="en-US" w:eastAsia="zh-CN"/>
        </w:rPr>
        <w:t>为维护人民群众身体健康，需强化疾病综合防治体系能力建设，基本实现“应防尽防、应筛尽筛、应治尽治、应管尽管”，为人民群众提供连续、优质、高效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i w:val="0"/>
          <w:caps w:val="0"/>
          <w:spacing w:val="0"/>
          <w:kern w:val="0"/>
          <w:sz w:val="30"/>
          <w:szCs w:val="30"/>
          <w:lang w:val="en-US" w:eastAsia="zh-CN"/>
        </w:rPr>
        <w:t>、便利的医疗服务。</w:t>
      </w:r>
    </w:p>
    <w:p>
      <w:pPr>
        <w:widowControl/>
        <w:spacing w:line="408" w:lineRule="atLeast"/>
        <w:jc w:val="right"/>
        <w:rPr>
          <w:rFonts w:ascii="仿宋" w:hAnsi="仿宋" w:eastAsia="仿宋" w:cs="仿宋"/>
          <w:color w:val="333333"/>
          <w:kern w:val="0"/>
          <w:sz w:val="32"/>
          <w:szCs w:val="32"/>
        </w:rPr>
      </w:pPr>
    </w:p>
    <w:p>
      <w:pPr>
        <w:widowControl/>
        <w:spacing w:line="408" w:lineRule="atLeast"/>
        <w:jc w:val="center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　　　　　　　　　　　　　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保亭县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新政镇卫生院</w:t>
      </w:r>
    </w:p>
    <w:p>
      <w:pPr>
        <w:widowControl/>
        <w:spacing w:line="408" w:lineRule="atLeast"/>
        <w:ind w:right="800" w:firstLine="5120" w:firstLineChars="1600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A5328"/>
    <w:rsid w:val="000B060F"/>
    <w:rsid w:val="0012415E"/>
    <w:rsid w:val="00175350"/>
    <w:rsid w:val="00216194"/>
    <w:rsid w:val="00303432"/>
    <w:rsid w:val="003C1F9E"/>
    <w:rsid w:val="00546F2C"/>
    <w:rsid w:val="005A5328"/>
    <w:rsid w:val="006D4531"/>
    <w:rsid w:val="00A25A6D"/>
    <w:rsid w:val="00A36B17"/>
    <w:rsid w:val="00AD21FC"/>
    <w:rsid w:val="00B142E0"/>
    <w:rsid w:val="00B45118"/>
    <w:rsid w:val="00B75F47"/>
    <w:rsid w:val="00BB086A"/>
    <w:rsid w:val="00DA1715"/>
    <w:rsid w:val="00E41672"/>
    <w:rsid w:val="01D54484"/>
    <w:rsid w:val="02011313"/>
    <w:rsid w:val="02ED250A"/>
    <w:rsid w:val="03FD78BD"/>
    <w:rsid w:val="04073CF7"/>
    <w:rsid w:val="045E5DE2"/>
    <w:rsid w:val="04B52B58"/>
    <w:rsid w:val="0C9E1861"/>
    <w:rsid w:val="0FC6749E"/>
    <w:rsid w:val="10442B65"/>
    <w:rsid w:val="104B3F60"/>
    <w:rsid w:val="13940F46"/>
    <w:rsid w:val="153C3FD8"/>
    <w:rsid w:val="173B7AAC"/>
    <w:rsid w:val="195070F1"/>
    <w:rsid w:val="1A1D5BD7"/>
    <w:rsid w:val="1DE410FE"/>
    <w:rsid w:val="1FDF420A"/>
    <w:rsid w:val="20FC49FB"/>
    <w:rsid w:val="22D729AF"/>
    <w:rsid w:val="2E570C6C"/>
    <w:rsid w:val="2F49272E"/>
    <w:rsid w:val="35572DFB"/>
    <w:rsid w:val="3BF0673C"/>
    <w:rsid w:val="3C647C1B"/>
    <w:rsid w:val="44047948"/>
    <w:rsid w:val="448317C7"/>
    <w:rsid w:val="45635E8D"/>
    <w:rsid w:val="45915587"/>
    <w:rsid w:val="45ED4509"/>
    <w:rsid w:val="480F5142"/>
    <w:rsid w:val="4C3B51C5"/>
    <w:rsid w:val="50617A57"/>
    <w:rsid w:val="50AC15CB"/>
    <w:rsid w:val="549B5ABD"/>
    <w:rsid w:val="549F4706"/>
    <w:rsid w:val="578C597A"/>
    <w:rsid w:val="5EB3339D"/>
    <w:rsid w:val="62411F2B"/>
    <w:rsid w:val="62F04C5C"/>
    <w:rsid w:val="675D52DF"/>
    <w:rsid w:val="6A6751DF"/>
    <w:rsid w:val="6E610E7A"/>
    <w:rsid w:val="711B2BCB"/>
    <w:rsid w:val="755B184B"/>
    <w:rsid w:val="75F02295"/>
    <w:rsid w:val="77176B86"/>
    <w:rsid w:val="772C3A29"/>
    <w:rsid w:val="781A658E"/>
    <w:rsid w:val="797A0EF1"/>
    <w:rsid w:val="79E74483"/>
    <w:rsid w:val="7DCE6A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 w:firstLineChars="200"/>
    </w:pPr>
    <w:rPr>
      <w:rFonts w:ascii="Times New Roman" w:hAnsi="Times New Roman" w:eastAsia="仿宋_GB2312"/>
      <w:sz w:val="32"/>
    </w:rPr>
  </w:style>
  <w:style w:type="paragraph" w:customStyle="1" w:styleId="3">
    <w:name w:val="BodyText"/>
    <w:basedOn w:val="1"/>
    <w:qFormat/>
    <w:uiPriority w:val="0"/>
    <w:pPr>
      <w:suppressAutoHyphens/>
      <w:spacing w:after="140" w:afterLines="0" w:line="276" w:lineRule="auto"/>
      <w:textAlignment w:val="baseline"/>
    </w:pPr>
    <w:rPr>
      <w:rFonts w:ascii="Calibri" w:hAnsi="Calibri" w:eastAsia="宋体" w:cs="Times New Roman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标题 2 Char"/>
    <w:basedOn w:val="6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90</Words>
  <Characters>514</Characters>
  <Lines>4</Lines>
  <Paragraphs>1</Paragraphs>
  <ScaleCrop>false</ScaleCrop>
  <LinksUpToDate>false</LinksUpToDate>
  <CharactersWithSpaces>603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2023-03-29T07:37:00Z</dcterms:created>
  <dc:creator>Windows User</dc:creator>
  <cp:lastModifiedBy>Administrator</cp:lastModifiedBy>
  <cp:lastPrinted>2022-04-16T01:56:00Z</cp:lastPrinted>
  <dcterms:modified xsi:type="dcterms:W3CDTF">2024-03-01T03:04:57Z</dcterms:modified>
  <dc:title>2023年基本公共卫生服务补助资金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7C23C47A90834145BCADF7BD5A51821A</vt:lpwstr>
  </property>
</Properties>
</file>