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EE7B49">
      <w:pPr>
        <w:jc w:val="center"/>
        <w:rPr>
          <w:rFonts w:hint="eastAsia" w:ascii="方正小标宋_GBK" w:hAnsi="方正小标宋_GBK" w:eastAsia="方正小标宋_GBK" w:cs="方正小标宋_GBK"/>
          <w:sz w:val="32"/>
          <w:szCs w:val="32"/>
          <w:lang w:eastAsia="zh-CN"/>
        </w:rPr>
      </w:pPr>
      <w:r>
        <w:rPr>
          <w:rFonts w:hint="eastAsia" w:ascii="方正小标宋_GBK" w:hAnsi="方正小标宋_GBK" w:eastAsia="方正小标宋_GBK" w:cs="方正小标宋_GBK"/>
          <w:sz w:val="32"/>
          <w:szCs w:val="32"/>
          <w:lang w:eastAsia="zh-CN"/>
        </w:rPr>
        <w:t>保亭县安康医院改扩建工程自评报告（</w:t>
      </w:r>
      <w:r>
        <w:rPr>
          <w:rFonts w:hint="eastAsia" w:ascii="方正小标宋_GBK" w:hAnsi="方正小标宋_GBK" w:eastAsia="方正小标宋_GBK" w:cs="方正小标宋_GBK"/>
          <w:sz w:val="32"/>
          <w:szCs w:val="32"/>
          <w:lang w:val="en-US" w:eastAsia="zh-CN"/>
        </w:rPr>
        <w:t>2024年度</w:t>
      </w:r>
      <w:r>
        <w:rPr>
          <w:rFonts w:hint="eastAsia" w:ascii="方正小标宋_GBK" w:hAnsi="方正小标宋_GBK" w:eastAsia="方正小标宋_GBK" w:cs="方正小标宋_GBK"/>
          <w:sz w:val="32"/>
          <w:szCs w:val="32"/>
          <w:lang w:eastAsia="zh-CN"/>
        </w:rPr>
        <w:t>）</w:t>
      </w:r>
    </w:p>
    <w:p w14:paraId="60520442">
      <w:pPr>
        <w:rPr>
          <w:rFonts w:hint="eastAsia"/>
          <w:lang w:eastAsia="zh-CN"/>
        </w:rPr>
      </w:pPr>
    </w:p>
    <w:p w14:paraId="08043807">
      <w:pPr>
        <w:rPr>
          <w:rFonts w:hint="eastAsia" w:ascii="仿宋_GB2312" w:hAnsi="仿宋_GB2312" w:eastAsia="仿宋_GB2312" w:cs="仿宋_GB2312"/>
          <w:b/>
          <w:bCs/>
          <w:sz w:val="30"/>
          <w:szCs w:val="30"/>
          <w:lang w:eastAsia="zh-CN"/>
        </w:rPr>
      </w:pPr>
      <w:r>
        <w:rPr>
          <w:rFonts w:hint="eastAsia" w:ascii="仿宋_GB2312" w:hAnsi="仿宋_GB2312" w:eastAsia="仿宋_GB2312" w:cs="仿宋_GB2312"/>
          <w:b/>
          <w:bCs/>
          <w:sz w:val="30"/>
          <w:szCs w:val="30"/>
          <w:lang w:eastAsia="zh-CN"/>
        </w:rPr>
        <w:t>一、项目概况</w:t>
      </w:r>
    </w:p>
    <w:p w14:paraId="1B91A80C">
      <w:pPr>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eastAsia="zh-CN"/>
        </w:rPr>
        <w:t>（一）基本情况：保亭县安康医院定位为一所集医疗、预防、保健、教学、科研、康复为一体的现代化二级甲等精神专科医院，地址位于保亭县响水镇，概算投资</w:t>
      </w:r>
      <w:r>
        <w:rPr>
          <w:rFonts w:hint="eastAsia" w:ascii="仿宋_GB2312" w:hAnsi="仿宋_GB2312" w:eastAsia="仿宋_GB2312" w:cs="仿宋_GB2312"/>
          <w:sz w:val="30"/>
          <w:szCs w:val="30"/>
          <w:lang w:val="en-US" w:eastAsia="zh-CN"/>
        </w:rPr>
        <w:t>14226.23万元。项目总床位为300张，总建筑面积17103㎡，主要包括1栋住院楼、1栋康复楼、1栋综合楼、1栋门房，并建设室外工程、挡土墙、室外给排水、电气、绿化、消防等工程。</w:t>
      </w:r>
    </w:p>
    <w:p w14:paraId="3F5ACA8C">
      <w:pPr>
        <w:ind w:firstLine="600" w:firstLineChars="20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lang w:eastAsia="zh-CN"/>
        </w:rPr>
        <w:t>（二）项目年度预算绩效目标和绩效指标设定情况</w:t>
      </w:r>
    </w:p>
    <w:tbl>
      <w:tblPr>
        <w:tblStyle w:val="4"/>
        <w:tblW w:w="9539" w:type="dxa"/>
        <w:jc w:val="center"/>
        <w:tblLayout w:type="fixed"/>
        <w:tblCellMar>
          <w:top w:w="0" w:type="dxa"/>
          <w:left w:w="108" w:type="dxa"/>
          <w:bottom w:w="0" w:type="dxa"/>
          <w:right w:w="108" w:type="dxa"/>
        </w:tblCellMar>
      </w:tblPr>
      <w:tblGrid>
        <w:gridCol w:w="1162"/>
        <w:gridCol w:w="1378"/>
        <w:gridCol w:w="1241"/>
        <w:gridCol w:w="1131"/>
        <w:gridCol w:w="1149"/>
        <w:gridCol w:w="737"/>
        <w:gridCol w:w="1622"/>
        <w:gridCol w:w="1119"/>
      </w:tblGrid>
      <w:tr w14:paraId="348E59F0">
        <w:tblPrEx>
          <w:tblCellMar>
            <w:top w:w="0" w:type="dxa"/>
            <w:left w:w="108" w:type="dxa"/>
            <w:bottom w:w="0" w:type="dxa"/>
            <w:right w:w="108" w:type="dxa"/>
          </w:tblCellMar>
        </w:tblPrEx>
        <w:trPr>
          <w:trHeight w:val="1429" w:hRule="atLeast"/>
          <w:jc w:val="center"/>
        </w:trPr>
        <w:tc>
          <w:tcPr>
            <w:tcW w:w="1162" w:type="dxa"/>
            <w:tcBorders>
              <w:top w:val="single" w:color="auto" w:sz="4" w:space="0"/>
              <w:left w:val="single" w:color="auto" w:sz="4" w:space="0"/>
              <w:right w:val="single" w:color="auto" w:sz="4" w:space="0"/>
            </w:tcBorders>
            <w:noWrap/>
            <w:vAlign w:val="center"/>
          </w:tcPr>
          <w:p w14:paraId="1947BC4B">
            <w:pPr>
              <w:widowControl/>
              <w:jc w:val="center"/>
              <w:rPr>
                <w:rFonts w:hint="default" w:ascii="宋体" w:hAnsi="宋体" w:eastAsia="宋体" w:cs="宋体"/>
                <w:b/>
                <w:bCs/>
                <w:color w:val="000000"/>
                <w:kern w:val="0"/>
                <w:sz w:val="22"/>
                <w:lang w:val="en-US" w:eastAsia="zh-CN"/>
              </w:rPr>
            </w:pPr>
            <w:r>
              <w:rPr>
                <w:rFonts w:hint="eastAsia" w:ascii="宋体" w:hAnsi="宋体" w:cs="宋体"/>
                <w:b/>
                <w:bCs/>
                <w:color w:val="000000"/>
                <w:kern w:val="0"/>
                <w:sz w:val="22"/>
                <w:lang w:val="en-US" w:eastAsia="zh-CN"/>
              </w:rPr>
              <w:t>2024年</w:t>
            </w:r>
          </w:p>
          <w:p w14:paraId="0E46D4CD">
            <w:pPr>
              <w:widowControl/>
              <w:jc w:val="center"/>
              <w:rPr>
                <w:rFonts w:hint="eastAsia" w:ascii="仿宋_GB2312" w:hAnsi="仿宋_GB2312" w:eastAsia="仿宋_GB2312" w:cs="仿宋_GB2312"/>
                <w:b w:val="0"/>
                <w:bCs w:val="0"/>
                <w:color w:val="000000"/>
                <w:kern w:val="0"/>
                <w:sz w:val="22"/>
                <w:lang w:val="en-US" w:eastAsia="zh-CN"/>
              </w:rPr>
            </w:pPr>
            <w:r>
              <w:rPr>
                <w:rFonts w:hint="eastAsia" w:ascii="宋体" w:hAnsi="宋体" w:eastAsia="宋体" w:cs="宋体"/>
                <w:b/>
                <w:bCs/>
                <w:color w:val="000000"/>
                <w:kern w:val="0"/>
                <w:sz w:val="22"/>
                <w:lang w:val="en-US" w:eastAsia="zh-CN"/>
              </w:rPr>
              <w:t>总体目标</w:t>
            </w:r>
          </w:p>
        </w:tc>
        <w:tc>
          <w:tcPr>
            <w:tcW w:w="8377" w:type="dxa"/>
            <w:gridSpan w:val="7"/>
            <w:tcBorders>
              <w:top w:val="single" w:color="auto" w:sz="4" w:space="0"/>
              <w:left w:val="single" w:color="auto" w:sz="4" w:space="0"/>
              <w:right w:val="single" w:color="auto" w:sz="4" w:space="0"/>
            </w:tcBorders>
            <w:noWrap/>
            <w:vAlign w:val="center"/>
          </w:tcPr>
          <w:p w14:paraId="68760937">
            <w:pPr>
              <w:widowControl/>
              <w:jc w:val="both"/>
              <w:rPr>
                <w:rFonts w:hint="eastAsia" w:ascii="仿宋_GB2312" w:hAnsi="仿宋_GB2312" w:eastAsia="仿宋_GB2312" w:cs="仿宋_GB2312"/>
                <w:b w:val="0"/>
                <w:bCs w:val="0"/>
                <w:color w:val="000000"/>
                <w:kern w:val="0"/>
                <w:sz w:val="22"/>
                <w:lang w:eastAsia="zh-CN"/>
              </w:rPr>
            </w:pPr>
            <w:r>
              <w:rPr>
                <w:rFonts w:hint="eastAsia" w:ascii="仿宋_GB2312" w:hAnsi="仿宋_GB2312" w:eastAsia="仿宋_GB2312" w:cs="仿宋_GB2312"/>
                <w:b w:val="0"/>
                <w:bCs w:val="0"/>
                <w:color w:val="000000"/>
                <w:kern w:val="0"/>
                <w:sz w:val="22"/>
                <w:lang w:eastAsia="zh-CN"/>
              </w:rPr>
              <w:t>安康医院建成后成为一所集医疗、预防、保健、教学、科研、康复为一体的现代化二级甲等精神专科医院</w:t>
            </w:r>
          </w:p>
        </w:tc>
      </w:tr>
      <w:tr w14:paraId="29C00C81">
        <w:tblPrEx>
          <w:tblCellMar>
            <w:top w:w="0" w:type="dxa"/>
            <w:left w:w="108" w:type="dxa"/>
            <w:bottom w:w="0" w:type="dxa"/>
            <w:right w:w="108" w:type="dxa"/>
          </w:tblCellMar>
        </w:tblPrEx>
        <w:trPr>
          <w:trHeight w:val="676" w:hRule="atLeast"/>
          <w:jc w:val="center"/>
        </w:trPr>
        <w:tc>
          <w:tcPr>
            <w:tcW w:w="1162" w:type="dxa"/>
            <w:tcBorders>
              <w:top w:val="single" w:color="auto" w:sz="4" w:space="0"/>
              <w:left w:val="single" w:color="auto" w:sz="4" w:space="0"/>
              <w:bottom w:val="single" w:color="auto" w:sz="4" w:space="0"/>
              <w:right w:val="single" w:color="auto" w:sz="4" w:space="0"/>
            </w:tcBorders>
            <w:noWrap/>
            <w:vAlign w:val="center"/>
          </w:tcPr>
          <w:p w14:paraId="4CE8C508">
            <w:pPr>
              <w:widowControl/>
              <w:spacing w:line="360" w:lineRule="auto"/>
              <w:jc w:val="center"/>
              <w:rPr>
                <w:rFonts w:hint="eastAsia" w:ascii="宋体" w:hAnsi="宋体" w:eastAsia="宋体" w:cs="宋体"/>
                <w:b/>
                <w:bCs/>
                <w:color w:val="000000"/>
                <w:kern w:val="0"/>
                <w:sz w:val="22"/>
                <w:lang w:eastAsia="zh-CN"/>
              </w:rPr>
            </w:pPr>
            <w:r>
              <w:rPr>
                <w:rFonts w:hint="eastAsia" w:ascii="宋体" w:hAnsi="宋体" w:eastAsia="宋体" w:cs="宋体"/>
                <w:b/>
                <w:bCs/>
                <w:color w:val="000000"/>
                <w:kern w:val="0"/>
                <w:sz w:val="22"/>
                <w:lang w:eastAsia="zh-CN"/>
              </w:rPr>
              <w:t>一级指标</w:t>
            </w:r>
          </w:p>
        </w:tc>
        <w:tc>
          <w:tcPr>
            <w:tcW w:w="1378" w:type="dxa"/>
            <w:tcBorders>
              <w:top w:val="single" w:color="auto" w:sz="4" w:space="0"/>
              <w:left w:val="nil"/>
              <w:bottom w:val="single" w:color="auto" w:sz="4" w:space="0"/>
              <w:right w:val="single" w:color="auto" w:sz="4" w:space="0"/>
            </w:tcBorders>
            <w:noWrap/>
            <w:vAlign w:val="center"/>
          </w:tcPr>
          <w:p w14:paraId="4FC1187E">
            <w:pPr>
              <w:widowControl/>
              <w:spacing w:line="360" w:lineRule="auto"/>
              <w:jc w:val="center"/>
              <w:rPr>
                <w:rFonts w:hint="eastAsia" w:ascii="宋体" w:hAnsi="宋体" w:eastAsia="宋体" w:cs="宋体"/>
                <w:b/>
                <w:bCs/>
                <w:color w:val="000000"/>
                <w:kern w:val="0"/>
                <w:sz w:val="22"/>
                <w:lang w:eastAsia="zh-CN"/>
              </w:rPr>
            </w:pPr>
            <w:r>
              <w:rPr>
                <w:rFonts w:hint="eastAsia" w:ascii="宋体" w:hAnsi="宋体" w:eastAsia="宋体" w:cs="宋体"/>
                <w:b/>
                <w:bCs/>
                <w:color w:val="000000"/>
                <w:kern w:val="0"/>
                <w:sz w:val="22"/>
                <w:lang w:eastAsia="zh-CN"/>
              </w:rPr>
              <w:t>二级指标</w:t>
            </w:r>
          </w:p>
        </w:tc>
        <w:tc>
          <w:tcPr>
            <w:tcW w:w="1241" w:type="dxa"/>
            <w:tcBorders>
              <w:top w:val="single" w:color="auto" w:sz="4" w:space="0"/>
              <w:left w:val="nil"/>
              <w:bottom w:val="single" w:color="auto" w:sz="4" w:space="0"/>
              <w:right w:val="single" w:color="auto" w:sz="4" w:space="0"/>
            </w:tcBorders>
            <w:noWrap/>
            <w:vAlign w:val="center"/>
          </w:tcPr>
          <w:p w14:paraId="712D3E3E">
            <w:pPr>
              <w:widowControl/>
              <w:spacing w:line="360" w:lineRule="auto"/>
              <w:jc w:val="center"/>
              <w:rPr>
                <w:rFonts w:hint="eastAsia" w:ascii="宋体" w:hAnsi="宋体" w:eastAsia="宋体" w:cs="宋体"/>
                <w:b/>
                <w:bCs/>
                <w:color w:val="000000"/>
                <w:kern w:val="0"/>
                <w:sz w:val="22"/>
                <w:lang w:eastAsia="zh-CN"/>
              </w:rPr>
            </w:pPr>
            <w:r>
              <w:rPr>
                <w:rFonts w:hint="eastAsia" w:ascii="宋体" w:hAnsi="宋体" w:eastAsia="宋体" w:cs="宋体"/>
                <w:b/>
                <w:bCs/>
                <w:color w:val="000000"/>
                <w:kern w:val="0"/>
                <w:sz w:val="22"/>
                <w:lang w:eastAsia="zh-CN"/>
              </w:rPr>
              <w:t>三级指标</w:t>
            </w:r>
          </w:p>
        </w:tc>
        <w:tc>
          <w:tcPr>
            <w:tcW w:w="1131" w:type="dxa"/>
            <w:tcBorders>
              <w:top w:val="single" w:color="auto" w:sz="4" w:space="0"/>
              <w:left w:val="nil"/>
              <w:bottom w:val="single" w:color="auto" w:sz="4" w:space="0"/>
              <w:right w:val="single" w:color="auto" w:sz="4" w:space="0"/>
            </w:tcBorders>
            <w:noWrap/>
            <w:vAlign w:val="center"/>
          </w:tcPr>
          <w:p w14:paraId="1813730B">
            <w:pPr>
              <w:widowControl/>
              <w:spacing w:line="360" w:lineRule="auto"/>
              <w:jc w:val="center"/>
              <w:rPr>
                <w:rFonts w:hint="eastAsia" w:ascii="宋体" w:hAnsi="宋体" w:eastAsia="宋体" w:cs="宋体"/>
                <w:b/>
                <w:bCs/>
                <w:color w:val="000000"/>
                <w:kern w:val="0"/>
                <w:sz w:val="22"/>
                <w:lang w:eastAsia="zh-CN"/>
              </w:rPr>
            </w:pPr>
            <w:r>
              <w:rPr>
                <w:rFonts w:hint="eastAsia" w:ascii="宋体" w:hAnsi="宋体" w:eastAsia="宋体" w:cs="宋体"/>
                <w:b/>
                <w:bCs/>
                <w:color w:val="000000"/>
                <w:kern w:val="0"/>
                <w:sz w:val="22"/>
                <w:lang w:eastAsia="zh-CN"/>
              </w:rPr>
              <w:t>指标值</w:t>
            </w:r>
          </w:p>
        </w:tc>
        <w:tc>
          <w:tcPr>
            <w:tcW w:w="1149" w:type="dxa"/>
            <w:tcBorders>
              <w:top w:val="single" w:color="auto" w:sz="4" w:space="0"/>
              <w:left w:val="nil"/>
              <w:bottom w:val="single" w:color="auto" w:sz="4" w:space="0"/>
              <w:right w:val="single" w:color="auto" w:sz="4" w:space="0"/>
            </w:tcBorders>
            <w:noWrap/>
            <w:vAlign w:val="center"/>
          </w:tcPr>
          <w:p w14:paraId="578D6998">
            <w:pPr>
              <w:widowControl/>
              <w:spacing w:line="360" w:lineRule="auto"/>
              <w:jc w:val="center"/>
              <w:rPr>
                <w:rFonts w:hint="default" w:ascii="宋体" w:hAnsi="宋体" w:eastAsia="宋体" w:cs="宋体"/>
                <w:b/>
                <w:bCs/>
                <w:color w:val="000000"/>
                <w:kern w:val="0"/>
                <w:sz w:val="22"/>
                <w:lang w:val="en-US" w:eastAsia="zh-CN"/>
              </w:rPr>
            </w:pPr>
            <w:r>
              <w:rPr>
                <w:rFonts w:hint="eastAsia" w:ascii="宋体" w:hAnsi="宋体" w:cs="宋体"/>
                <w:b/>
                <w:bCs/>
                <w:color w:val="000000"/>
                <w:kern w:val="0"/>
                <w:sz w:val="22"/>
                <w:lang w:val="en-US" w:eastAsia="zh-CN"/>
              </w:rPr>
              <w:t>完成情况</w:t>
            </w:r>
          </w:p>
        </w:tc>
        <w:tc>
          <w:tcPr>
            <w:tcW w:w="737" w:type="dxa"/>
            <w:tcBorders>
              <w:top w:val="single" w:color="auto" w:sz="4" w:space="0"/>
              <w:left w:val="nil"/>
              <w:bottom w:val="single" w:color="auto" w:sz="4" w:space="0"/>
              <w:right w:val="single" w:color="auto" w:sz="4" w:space="0"/>
            </w:tcBorders>
            <w:noWrap/>
            <w:vAlign w:val="center"/>
          </w:tcPr>
          <w:p w14:paraId="31AE0739">
            <w:pPr>
              <w:widowControl/>
              <w:spacing w:line="360" w:lineRule="auto"/>
              <w:jc w:val="center"/>
              <w:rPr>
                <w:rFonts w:hint="default" w:ascii="宋体" w:hAnsi="宋体" w:eastAsia="宋体" w:cs="宋体"/>
                <w:b/>
                <w:bCs/>
                <w:color w:val="000000"/>
                <w:kern w:val="0"/>
                <w:sz w:val="22"/>
                <w:lang w:val="en-US" w:eastAsia="zh-CN"/>
              </w:rPr>
            </w:pPr>
            <w:r>
              <w:rPr>
                <w:rFonts w:hint="eastAsia" w:ascii="宋体" w:hAnsi="宋体" w:cs="宋体"/>
                <w:b/>
                <w:bCs/>
                <w:color w:val="000000"/>
                <w:kern w:val="0"/>
                <w:sz w:val="22"/>
                <w:lang w:val="en-US" w:eastAsia="zh-CN"/>
              </w:rPr>
              <w:t>分值</w:t>
            </w:r>
          </w:p>
        </w:tc>
        <w:tc>
          <w:tcPr>
            <w:tcW w:w="1622" w:type="dxa"/>
            <w:tcBorders>
              <w:top w:val="single" w:color="auto" w:sz="4" w:space="0"/>
              <w:left w:val="nil"/>
              <w:bottom w:val="single" w:color="auto" w:sz="4" w:space="0"/>
              <w:right w:val="single" w:color="auto" w:sz="4" w:space="0"/>
            </w:tcBorders>
            <w:noWrap/>
            <w:vAlign w:val="center"/>
          </w:tcPr>
          <w:p w14:paraId="7BC2E43D">
            <w:pPr>
              <w:widowControl/>
              <w:spacing w:line="360" w:lineRule="auto"/>
              <w:jc w:val="center"/>
              <w:rPr>
                <w:rFonts w:hint="default" w:ascii="宋体" w:hAnsi="宋体" w:eastAsia="宋体" w:cs="宋体"/>
                <w:b/>
                <w:bCs/>
                <w:color w:val="000000"/>
                <w:kern w:val="0"/>
                <w:sz w:val="22"/>
                <w:lang w:val="en-US" w:eastAsia="zh-CN"/>
              </w:rPr>
            </w:pPr>
            <w:r>
              <w:rPr>
                <w:rFonts w:hint="eastAsia" w:ascii="宋体" w:hAnsi="宋体" w:cs="宋体"/>
                <w:b/>
                <w:bCs/>
                <w:color w:val="000000"/>
                <w:kern w:val="0"/>
                <w:sz w:val="22"/>
                <w:lang w:val="en-US" w:eastAsia="zh-CN"/>
              </w:rPr>
              <w:t>得分</w:t>
            </w:r>
          </w:p>
        </w:tc>
        <w:tc>
          <w:tcPr>
            <w:tcW w:w="1119" w:type="dxa"/>
            <w:tcBorders>
              <w:top w:val="single" w:color="auto" w:sz="4" w:space="0"/>
              <w:left w:val="nil"/>
              <w:bottom w:val="single" w:color="auto" w:sz="4" w:space="0"/>
              <w:right w:val="single" w:color="auto" w:sz="4" w:space="0"/>
            </w:tcBorders>
            <w:noWrap/>
            <w:vAlign w:val="center"/>
          </w:tcPr>
          <w:p w14:paraId="5EB2FC5B">
            <w:pPr>
              <w:widowControl/>
              <w:spacing w:line="360" w:lineRule="auto"/>
              <w:jc w:val="center"/>
              <w:rPr>
                <w:rFonts w:hint="eastAsia" w:ascii="宋体" w:hAnsi="宋体" w:cs="宋体"/>
                <w:b/>
                <w:bCs/>
                <w:color w:val="000000"/>
                <w:kern w:val="0"/>
                <w:sz w:val="22"/>
                <w:lang w:val="en-US" w:eastAsia="zh-CN"/>
              </w:rPr>
            </w:pPr>
            <w:r>
              <w:rPr>
                <w:rFonts w:hint="eastAsia" w:ascii="宋体" w:hAnsi="宋体" w:cs="宋体"/>
                <w:b/>
                <w:bCs/>
                <w:color w:val="000000"/>
                <w:kern w:val="0"/>
                <w:sz w:val="22"/>
                <w:lang w:val="en-US" w:eastAsia="zh-CN"/>
              </w:rPr>
              <w:t>未完成原因说明</w:t>
            </w:r>
          </w:p>
        </w:tc>
      </w:tr>
      <w:tr w14:paraId="0ADA5DAC">
        <w:tblPrEx>
          <w:tblCellMar>
            <w:top w:w="0" w:type="dxa"/>
            <w:left w:w="108" w:type="dxa"/>
            <w:bottom w:w="0" w:type="dxa"/>
            <w:right w:w="108" w:type="dxa"/>
          </w:tblCellMar>
        </w:tblPrEx>
        <w:trPr>
          <w:trHeight w:val="270" w:hRule="atLeast"/>
          <w:jc w:val="center"/>
        </w:trPr>
        <w:tc>
          <w:tcPr>
            <w:tcW w:w="1162" w:type="dxa"/>
            <w:vMerge w:val="restart"/>
            <w:tcBorders>
              <w:top w:val="single" w:color="auto" w:sz="4" w:space="0"/>
              <w:left w:val="single" w:color="auto" w:sz="4" w:space="0"/>
              <w:bottom w:val="single" w:color="auto" w:sz="4" w:space="0"/>
              <w:right w:val="single" w:color="auto" w:sz="4" w:space="0"/>
            </w:tcBorders>
            <w:noWrap/>
            <w:vAlign w:val="center"/>
          </w:tcPr>
          <w:p w14:paraId="56616081">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产出指标</w:t>
            </w:r>
          </w:p>
        </w:tc>
        <w:tc>
          <w:tcPr>
            <w:tcW w:w="1378" w:type="dxa"/>
            <w:tcBorders>
              <w:top w:val="single" w:color="auto" w:sz="4" w:space="0"/>
              <w:left w:val="single" w:color="auto" w:sz="4" w:space="0"/>
              <w:bottom w:val="single" w:color="auto" w:sz="4" w:space="0"/>
              <w:right w:val="single" w:color="auto" w:sz="4" w:space="0"/>
            </w:tcBorders>
            <w:noWrap/>
            <w:vAlign w:val="center"/>
          </w:tcPr>
          <w:p w14:paraId="66ACD3EA">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质量指标</w:t>
            </w:r>
          </w:p>
        </w:tc>
        <w:tc>
          <w:tcPr>
            <w:tcW w:w="1241" w:type="dxa"/>
            <w:tcBorders>
              <w:top w:val="single" w:color="auto" w:sz="4" w:space="0"/>
              <w:left w:val="single" w:color="auto" w:sz="4" w:space="0"/>
              <w:bottom w:val="single" w:color="auto" w:sz="4" w:space="0"/>
              <w:right w:val="single" w:color="auto" w:sz="4" w:space="0"/>
            </w:tcBorders>
            <w:noWrap/>
            <w:vAlign w:val="center"/>
          </w:tcPr>
          <w:p w14:paraId="3E8B0695">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合格</w:t>
            </w:r>
          </w:p>
        </w:tc>
        <w:tc>
          <w:tcPr>
            <w:tcW w:w="1131" w:type="dxa"/>
            <w:tcBorders>
              <w:top w:val="single" w:color="auto" w:sz="4" w:space="0"/>
              <w:left w:val="single" w:color="auto" w:sz="4" w:space="0"/>
              <w:bottom w:val="single" w:color="auto" w:sz="4" w:space="0"/>
              <w:right w:val="single" w:color="auto" w:sz="4" w:space="0"/>
            </w:tcBorders>
            <w:noWrap/>
            <w:vAlign w:val="center"/>
          </w:tcPr>
          <w:p w14:paraId="4441E75E">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&gt;=85%</w:t>
            </w:r>
          </w:p>
        </w:tc>
        <w:tc>
          <w:tcPr>
            <w:tcW w:w="1149" w:type="dxa"/>
            <w:tcBorders>
              <w:top w:val="single" w:color="auto" w:sz="4" w:space="0"/>
              <w:left w:val="single" w:color="auto" w:sz="4" w:space="0"/>
              <w:bottom w:val="single" w:color="auto" w:sz="4" w:space="0"/>
              <w:right w:val="single" w:color="auto" w:sz="4" w:space="0"/>
            </w:tcBorders>
            <w:noWrap/>
            <w:vAlign w:val="center"/>
          </w:tcPr>
          <w:p w14:paraId="3E0F69CA">
            <w:pPr>
              <w:widowControl/>
              <w:spacing w:line="360" w:lineRule="auto"/>
              <w:jc w:val="center"/>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100%</w:t>
            </w:r>
          </w:p>
        </w:tc>
        <w:tc>
          <w:tcPr>
            <w:tcW w:w="737" w:type="dxa"/>
            <w:tcBorders>
              <w:top w:val="single" w:color="auto" w:sz="4" w:space="0"/>
              <w:left w:val="single" w:color="auto" w:sz="4" w:space="0"/>
              <w:bottom w:val="single" w:color="auto" w:sz="4" w:space="0"/>
              <w:right w:val="single" w:color="auto" w:sz="4" w:space="0"/>
            </w:tcBorders>
            <w:noWrap/>
            <w:vAlign w:val="center"/>
          </w:tcPr>
          <w:p w14:paraId="755A320B">
            <w:pPr>
              <w:widowControl/>
              <w:spacing w:line="360" w:lineRule="auto"/>
              <w:jc w:val="center"/>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30</w:t>
            </w:r>
          </w:p>
        </w:tc>
        <w:tc>
          <w:tcPr>
            <w:tcW w:w="1622" w:type="dxa"/>
            <w:tcBorders>
              <w:top w:val="single" w:color="auto" w:sz="4" w:space="0"/>
              <w:left w:val="single" w:color="auto" w:sz="4" w:space="0"/>
              <w:bottom w:val="single" w:color="auto" w:sz="4" w:space="0"/>
              <w:right w:val="single" w:color="auto" w:sz="4" w:space="0"/>
            </w:tcBorders>
            <w:noWrap/>
            <w:vAlign w:val="center"/>
          </w:tcPr>
          <w:p w14:paraId="6B900082">
            <w:pPr>
              <w:widowControl/>
              <w:spacing w:line="360" w:lineRule="auto"/>
              <w:jc w:val="center"/>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30</w:t>
            </w:r>
          </w:p>
        </w:tc>
        <w:tc>
          <w:tcPr>
            <w:tcW w:w="1119" w:type="dxa"/>
            <w:tcBorders>
              <w:top w:val="single" w:color="auto" w:sz="4" w:space="0"/>
              <w:left w:val="single" w:color="auto" w:sz="4" w:space="0"/>
              <w:bottom w:val="single" w:color="auto" w:sz="4" w:space="0"/>
              <w:right w:val="single" w:color="auto" w:sz="4" w:space="0"/>
            </w:tcBorders>
            <w:noWrap/>
            <w:vAlign w:val="center"/>
          </w:tcPr>
          <w:p w14:paraId="1542A452">
            <w:pPr>
              <w:widowControl/>
              <w:spacing w:line="360" w:lineRule="auto"/>
              <w:jc w:val="center"/>
              <w:rPr>
                <w:rFonts w:hint="eastAsia" w:ascii="宋体" w:hAnsi="宋体" w:eastAsia="宋体" w:cs="宋体"/>
                <w:color w:val="000000"/>
                <w:kern w:val="0"/>
                <w:sz w:val="22"/>
              </w:rPr>
            </w:pPr>
          </w:p>
        </w:tc>
      </w:tr>
      <w:tr w14:paraId="5FAC5C00">
        <w:tblPrEx>
          <w:tblCellMar>
            <w:top w:w="0" w:type="dxa"/>
            <w:left w:w="108" w:type="dxa"/>
            <w:bottom w:w="0" w:type="dxa"/>
            <w:right w:w="108" w:type="dxa"/>
          </w:tblCellMar>
        </w:tblPrEx>
        <w:trPr>
          <w:trHeight w:val="90" w:hRule="atLeast"/>
          <w:jc w:val="center"/>
        </w:trPr>
        <w:tc>
          <w:tcPr>
            <w:tcW w:w="1162" w:type="dxa"/>
            <w:vMerge w:val="continue"/>
            <w:tcBorders>
              <w:top w:val="single" w:color="auto" w:sz="4" w:space="0"/>
              <w:left w:val="single" w:color="auto" w:sz="4" w:space="0"/>
              <w:bottom w:val="single" w:color="auto" w:sz="4" w:space="0"/>
              <w:right w:val="single" w:color="auto" w:sz="4" w:space="0"/>
            </w:tcBorders>
            <w:noWrap/>
            <w:vAlign w:val="center"/>
          </w:tcPr>
          <w:p w14:paraId="3BAE24B6">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b w:val="0"/>
                <w:bCs w:val="0"/>
                <w:color w:val="000000"/>
                <w:kern w:val="0"/>
                <w:sz w:val="22"/>
                <w:lang w:val="en-US" w:eastAsia="zh-CN"/>
              </w:rPr>
            </w:pPr>
          </w:p>
        </w:tc>
        <w:tc>
          <w:tcPr>
            <w:tcW w:w="1378" w:type="dxa"/>
            <w:tcBorders>
              <w:top w:val="single" w:color="auto" w:sz="4" w:space="0"/>
              <w:left w:val="single" w:color="auto" w:sz="4" w:space="0"/>
              <w:bottom w:val="single" w:color="auto" w:sz="4" w:space="0"/>
              <w:right w:val="single" w:color="auto" w:sz="4" w:space="0"/>
            </w:tcBorders>
            <w:noWrap/>
            <w:vAlign w:val="center"/>
          </w:tcPr>
          <w:p w14:paraId="350C378E">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时效指标</w:t>
            </w:r>
          </w:p>
        </w:tc>
        <w:tc>
          <w:tcPr>
            <w:tcW w:w="1241" w:type="dxa"/>
            <w:tcBorders>
              <w:top w:val="single" w:color="auto" w:sz="4" w:space="0"/>
              <w:left w:val="single" w:color="auto" w:sz="4" w:space="0"/>
              <w:bottom w:val="single" w:color="auto" w:sz="4" w:space="0"/>
              <w:right w:val="single" w:color="auto" w:sz="4" w:space="0"/>
            </w:tcBorders>
            <w:noWrap/>
            <w:vAlign w:val="center"/>
          </w:tcPr>
          <w:p w14:paraId="78FFADA7">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支出及时性</w:t>
            </w:r>
          </w:p>
        </w:tc>
        <w:tc>
          <w:tcPr>
            <w:tcW w:w="1131" w:type="dxa"/>
            <w:tcBorders>
              <w:top w:val="single" w:color="auto" w:sz="4" w:space="0"/>
              <w:left w:val="single" w:color="auto" w:sz="4" w:space="0"/>
              <w:bottom w:val="single" w:color="auto" w:sz="4" w:space="0"/>
              <w:right w:val="single" w:color="auto" w:sz="4" w:space="0"/>
            </w:tcBorders>
            <w:noWrap/>
            <w:vAlign w:val="center"/>
          </w:tcPr>
          <w:p w14:paraId="2795626C">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100%</w:t>
            </w:r>
          </w:p>
        </w:tc>
        <w:tc>
          <w:tcPr>
            <w:tcW w:w="1149" w:type="dxa"/>
            <w:tcBorders>
              <w:top w:val="single" w:color="auto" w:sz="4" w:space="0"/>
              <w:left w:val="single" w:color="auto" w:sz="4" w:space="0"/>
              <w:bottom w:val="single" w:color="auto" w:sz="4" w:space="0"/>
              <w:right w:val="single" w:color="auto" w:sz="4" w:space="0"/>
            </w:tcBorders>
            <w:noWrap/>
            <w:vAlign w:val="center"/>
          </w:tcPr>
          <w:p w14:paraId="39E3DAEC">
            <w:pPr>
              <w:widowControl/>
              <w:spacing w:line="360" w:lineRule="auto"/>
              <w:jc w:val="center"/>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83%</w:t>
            </w:r>
          </w:p>
        </w:tc>
        <w:tc>
          <w:tcPr>
            <w:tcW w:w="737" w:type="dxa"/>
            <w:tcBorders>
              <w:top w:val="single" w:color="auto" w:sz="4" w:space="0"/>
              <w:left w:val="single" w:color="auto" w:sz="4" w:space="0"/>
              <w:bottom w:val="single" w:color="auto" w:sz="4" w:space="0"/>
              <w:right w:val="single" w:color="auto" w:sz="4" w:space="0"/>
            </w:tcBorders>
            <w:noWrap/>
            <w:vAlign w:val="center"/>
          </w:tcPr>
          <w:p w14:paraId="70D4B5D5">
            <w:pPr>
              <w:widowControl/>
              <w:spacing w:line="360" w:lineRule="auto"/>
              <w:jc w:val="center"/>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10</w:t>
            </w:r>
          </w:p>
        </w:tc>
        <w:tc>
          <w:tcPr>
            <w:tcW w:w="1622" w:type="dxa"/>
            <w:tcBorders>
              <w:top w:val="single" w:color="auto" w:sz="4" w:space="0"/>
              <w:left w:val="single" w:color="auto" w:sz="4" w:space="0"/>
              <w:bottom w:val="single" w:color="auto" w:sz="4" w:space="0"/>
              <w:right w:val="single" w:color="auto" w:sz="4" w:space="0"/>
            </w:tcBorders>
            <w:noWrap/>
            <w:vAlign w:val="center"/>
          </w:tcPr>
          <w:p w14:paraId="23535644">
            <w:pPr>
              <w:widowControl/>
              <w:spacing w:line="360" w:lineRule="auto"/>
              <w:jc w:val="center"/>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8.3</w:t>
            </w:r>
          </w:p>
        </w:tc>
        <w:tc>
          <w:tcPr>
            <w:tcW w:w="1119" w:type="dxa"/>
            <w:tcBorders>
              <w:top w:val="single" w:color="auto" w:sz="4" w:space="0"/>
              <w:left w:val="single" w:color="auto" w:sz="4" w:space="0"/>
              <w:bottom w:val="single" w:color="auto" w:sz="4" w:space="0"/>
              <w:right w:val="single" w:color="auto" w:sz="4" w:space="0"/>
            </w:tcBorders>
            <w:noWrap/>
            <w:vAlign w:val="center"/>
          </w:tcPr>
          <w:p w14:paraId="67F5EC0C">
            <w:pPr>
              <w:widowControl/>
              <w:spacing w:line="360" w:lineRule="auto"/>
              <w:jc w:val="center"/>
              <w:rPr>
                <w:rFonts w:hint="default" w:ascii="宋体" w:hAnsi="宋体" w:eastAsia="宋体" w:cs="宋体"/>
                <w:color w:val="000000"/>
                <w:kern w:val="0"/>
                <w:sz w:val="22"/>
                <w:lang w:val="en-US" w:eastAsia="zh-CN"/>
              </w:rPr>
            </w:pPr>
          </w:p>
        </w:tc>
      </w:tr>
      <w:tr w14:paraId="77FE039B">
        <w:tblPrEx>
          <w:tblCellMar>
            <w:top w:w="0" w:type="dxa"/>
            <w:left w:w="108" w:type="dxa"/>
            <w:bottom w:w="0" w:type="dxa"/>
            <w:right w:w="108" w:type="dxa"/>
          </w:tblCellMar>
        </w:tblPrEx>
        <w:trPr>
          <w:trHeight w:val="270" w:hRule="atLeast"/>
          <w:jc w:val="center"/>
        </w:trPr>
        <w:tc>
          <w:tcPr>
            <w:tcW w:w="1162" w:type="dxa"/>
            <w:tcBorders>
              <w:top w:val="single" w:color="auto" w:sz="4" w:space="0"/>
              <w:left w:val="single" w:color="auto" w:sz="4" w:space="0"/>
              <w:bottom w:val="single" w:color="auto" w:sz="4" w:space="0"/>
              <w:right w:val="single" w:color="auto" w:sz="4" w:space="0"/>
            </w:tcBorders>
            <w:noWrap/>
            <w:vAlign w:val="center"/>
          </w:tcPr>
          <w:p w14:paraId="77A6E583">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效益指标</w:t>
            </w:r>
          </w:p>
        </w:tc>
        <w:tc>
          <w:tcPr>
            <w:tcW w:w="1378" w:type="dxa"/>
            <w:tcBorders>
              <w:top w:val="single" w:color="auto" w:sz="4" w:space="0"/>
              <w:left w:val="single" w:color="auto" w:sz="4" w:space="0"/>
              <w:bottom w:val="single" w:color="auto" w:sz="4" w:space="0"/>
              <w:right w:val="single" w:color="auto" w:sz="4" w:space="0"/>
            </w:tcBorders>
            <w:noWrap/>
            <w:vAlign w:val="center"/>
          </w:tcPr>
          <w:p w14:paraId="6B0A6E34">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社会效益指标</w:t>
            </w:r>
          </w:p>
        </w:tc>
        <w:tc>
          <w:tcPr>
            <w:tcW w:w="1241" w:type="dxa"/>
            <w:tcBorders>
              <w:top w:val="single" w:color="auto" w:sz="4" w:space="0"/>
              <w:left w:val="single" w:color="auto" w:sz="4" w:space="0"/>
              <w:bottom w:val="single" w:color="auto" w:sz="4" w:space="0"/>
              <w:right w:val="single" w:color="auto" w:sz="4" w:space="0"/>
            </w:tcBorders>
            <w:noWrap/>
            <w:vAlign w:val="center"/>
          </w:tcPr>
          <w:p w14:paraId="7B5F2068">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完成</w:t>
            </w:r>
          </w:p>
        </w:tc>
        <w:tc>
          <w:tcPr>
            <w:tcW w:w="1131" w:type="dxa"/>
            <w:tcBorders>
              <w:top w:val="single" w:color="auto" w:sz="4" w:space="0"/>
              <w:left w:val="single" w:color="auto" w:sz="4" w:space="0"/>
              <w:bottom w:val="single" w:color="auto" w:sz="4" w:space="0"/>
              <w:right w:val="single" w:color="auto" w:sz="4" w:space="0"/>
            </w:tcBorders>
            <w:noWrap/>
            <w:vAlign w:val="center"/>
          </w:tcPr>
          <w:p w14:paraId="45433382">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高中低</w:t>
            </w:r>
          </w:p>
        </w:tc>
        <w:tc>
          <w:tcPr>
            <w:tcW w:w="1149" w:type="dxa"/>
            <w:tcBorders>
              <w:top w:val="single" w:color="auto" w:sz="4" w:space="0"/>
              <w:left w:val="single" w:color="auto" w:sz="4" w:space="0"/>
              <w:bottom w:val="single" w:color="auto" w:sz="4" w:space="0"/>
              <w:right w:val="single" w:color="auto" w:sz="4" w:space="0"/>
            </w:tcBorders>
            <w:noWrap/>
            <w:vAlign w:val="center"/>
          </w:tcPr>
          <w:p w14:paraId="173986CE">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高</w:t>
            </w:r>
          </w:p>
        </w:tc>
        <w:tc>
          <w:tcPr>
            <w:tcW w:w="737" w:type="dxa"/>
            <w:tcBorders>
              <w:top w:val="single" w:color="auto" w:sz="4" w:space="0"/>
              <w:left w:val="single" w:color="auto" w:sz="4" w:space="0"/>
              <w:bottom w:val="single" w:color="auto" w:sz="4" w:space="0"/>
              <w:right w:val="single" w:color="auto" w:sz="4" w:space="0"/>
            </w:tcBorders>
            <w:noWrap/>
            <w:vAlign w:val="center"/>
          </w:tcPr>
          <w:p w14:paraId="2F0493BE">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30</w:t>
            </w:r>
          </w:p>
        </w:tc>
        <w:tc>
          <w:tcPr>
            <w:tcW w:w="1622" w:type="dxa"/>
            <w:tcBorders>
              <w:top w:val="single" w:color="auto" w:sz="4" w:space="0"/>
              <w:left w:val="single" w:color="auto" w:sz="4" w:space="0"/>
              <w:bottom w:val="single" w:color="auto" w:sz="4" w:space="0"/>
              <w:right w:val="single" w:color="auto" w:sz="4" w:space="0"/>
            </w:tcBorders>
            <w:noWrap/>
            <w:vAlign w:val="center"/>
          </w:tcPr>
          <w:p w14:paraId="339FA82A">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30.00</w:t>
            </w:r>
          </w:p>
        </w:tc>
        <w:tc>
          <w:tcPr>
            <w:tcW w:w="1119" w:type="dxa"/>
            <w:tcBorders>
              <w:top w:val="single" w:color="auto" w:sz="4" w:space="0"/>
              <w:left w:val="single" w:color="auto" w:sz="4" w:space="0"/>
              <w:bottom w:val="single" w:color="auto" w:sz="4" w:space="0"/>
              <w:right w:val="single" w:color="auto" w:sz="4" w:space="0"/>
            </w:tcBorders>
            <w:noWrap/>
            <w:vAlign w:val="center"/>
          </w:tcPr>
          <w:p w14:paraId="4EC1BD62">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kern w:val="0"/>
                <w:sz w:val="22"/>
              </w:rPr>
            </w:pPr>
          </w:p>
        </w:tc>
      </w:tr>
      <w:tr w14:paraId="06581D57">
        <w:tblPrEx>
          <w:tblCellMar>
            <w:top w:w="0" w:type="dxa"/>
            <w:left w:w="108" w:type="dxa"/>
            <w:bottom w:w="0" w:type="dxa"/>
            <w:right w:w="108" w:type="dxa"/>
          </w:tblCellMar>
        </w:tblPrEx>
        <w:trPr>
          <w:trHeight w:val="270" w:hRule="atLeast"/>
          <w:jc w:val="center"/>
        </w:trPr>
        <w:tc>
          <w:tcPr>
            <w:tcW w:w="1162" w:type="dxa"/>
            <w:tcBorders>
              <w:top w:val="single" w:color="auto" w:sz="4" w:space="0"/>
              <w:left w:val="single" w:color="auto" w:sz="4" w:space="0"/>
              <w:bottom w:val="single" w:color="auto" w:sz="4" w:space="0"/>
              <w:right w:val="single" w:color="auto" w:sz="4" w:space="0"/>
            </w:tcBorders>
            <w:noWrap/>
            <w:vAlign w:val="center"/>
          </w:tcPr>
          <w:p w14:paraId="5854CE7B">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满意度指标</w:t>
            </w:r>
          </w:p>
        </w:tc>
        <w:tc>
          <w:tcPr>
            <w:tcW w:w="1378" w:type="dxa"/>
            <w:tcBorders>
              <w:top w:val="single" w:color="auto" w:sz="4" w:space="0"/>
              <w:left w:val="single" w:color="auto" w:sz="4" w:space="0"/>
              <w:bottom w:val="single" w:color="auto" w:sz="4" w:space="0"/>
              <w:right w:val="single" w:color="auto" w:sz="4" w:space="0"/>
            </w:tcBorders>
            <w:noWrap/>
            <w:vAlign w:val="center"/>
          </w:tcPr>
          <w:p w14:paraId="47396E64">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服务对象满意度</w:t>
            </w:r>
          </w:p>
        </w:tc>
        <w:tc>
          <w:tcPr>
            <w:tcW w:w="1241" w:type="dxa"/>
            <w:tcBorders>
              <w:top w:val="single" w:color="auto" w:sz="4" w:space="0"/>
              <w:left w:val="single" w:color="auto" w:sz="4" w:space="0"/>
              <w:bottom w:val="single" w:color="auto" w:sz="4" w:space="0"/>
              <w:right w:val="single" w:color="auto" w:sz="4" w:space="0"/>
            </w:tcBorders>
            <w:noWrap/>
            <w:vAlign w:val="center"/>
          </w:tcPr>
          <w:p w14:paraId="4787F040">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满意度</w:t>
            </w:r>
          </w:p>
        </w:tc>
        <w:tc>
          <w:tcPr>
            <w:tcW w:w="1131" w:type="dxa"/>
            <w:tcBorders>
              <w:top w:val="single" w:color="auto" w:sz="4" w:space="0"/>
              <w:left w:val="single" w:color="auto" w:sz="4" w:space="0"/>
              <w:bottom w:val="single" w:color="auto" w:sz="4" w:space="0"/>
              <w:right w:val="single" w:color="auto" w:sz="4" w:space="0"/>
            </w:tcBorders>
            <w:noWrap/>
            <w:vAlign w:val="center"/>
          </w:tcPr>
          <w:p w14:paraId="66E3CE91">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&gt;=80%</w:t>
            </w:r>
          </w:p>
        </w:tc>
        <w:tc>
          <w:tcPr>
            <w:tcW w:w="1149" w:type="dxa"/>
            <w:tcBorders>
              <w:top w:val="single" w:color="auto" w:sz="4" w:space="0"/>
              <w:left w:val="single" w:color="auto" w:sz="4" w:space="0"/>
              <w:bottom w:val="single" w:color="auto" w:sz="4" w:space="0"/>
              <w:right w:val="single" w:color="auto" w:sz="4" w:space="0"/>
            </w:tcBorders>
            <w:noWrap/>
            <w:vAlign w:val="center"/>
          </w:tcPr>
          <w:p w14:paraId="7BE44EB1">
            <w:pPr>
              <w:widowControl/>
              <w:spacing w:line="360" w:lineRule="auto"/>
              <w:jc w:val="center"/>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100%</w:t>
            </w:r>
          </w:p>
        </w:tc>
        <w:tc>
          <w:tcPr>
            <w:tcW w:w="737" w:type="dxa"/>
            <w:tcBorders>
              <w:top w:val="single" w:color="auto" w:sz="4" w:space="0"/>
              <w:left w:val="single" w:color="auto" w:sz="4" w:space="0"/>
              <w:bottom w:val="single" w:color="auto" w:sz="4" w:space="0"/>
              <w:right w:val="single" w:color="auto" w:sz="4" w:space="0"/>
            </w:tcBorders>
            <w:noWrap/>
            <w:vAlign w:val="center"/>
          </w:tcPr>
          <w:p w14:paraId="6C799BD5">
            <w:pPr>
              <w:widowControl/>
              <w:spacing w:line="360" w:lineRule="auto"/>
              <w:jc w:val="center"/>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30</w:t>
            </w:r>
          </w:p>
        </w:tc>
        <w:tc>
          <w:tcPr>
            <w:tcW w:w="1622" w:type="dxa"/>
            <w:tcBorders>
              <w:top w:val="single" w:color="auto" w:sz="4" w:space="0"/>
              <w:left w:val="single" w:color="auto" w:sz="4" w:space="0"/>
              <w:bottom w:val="single" w:color="auto" w:sz="4" w:space="0"/>
              <w:right w:val="single" w:color="auto" w:sz="4" w:space="0"/>
            </w:tcBorders>
            <w:noWrap/>
            <w:vAlign w:val="center"/>
          </w:tcPr>
          <w:p w14:paraId="64A57E0D">
            <w:pPr>
              <w:widowControl/>
              <w:spacing w:line="360" w:lineRule="auto"/>
              <w:jc w:val="center"/>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30</w:t>
            </w:r>
            <w:bookmarkStart w:id="0" w:name="_GoBack"/>
            <w:bookmarkEnd w:id="0"/>
          </w:p>
        </w:tc>
        <w:tc>
          <w:tcPr>
            <w:tcW w:w="1119" w:type="dxa"/>
            <w:tcBorders>
              <w:top w:val="single" w:color="auto" w:sz="4" w:space="0"/>
              <w:left w:val="single" w:color="auto" w:sz="4" w:space="0"/>
              <w:bottom w:val="single" w:color="auto" w:sz="4" w:space="0"/>
              <w:right w:val="single" w:color="auto" w:sz="4" w:space="0"/>
            </w:tcBorders>
            <w:noWrap/>
            <w:vAlign w:val="center"/>
          </w:tcPr>
          <w:p w14:paraId="3B9211DC">
            <w:pPr>
              <w:widowControl/>
              <w:spacing w:line="360" w:lineRule="auto"/>
              <w:jc w:val="center"/>
              <w:rPr>
                <w:rFonts w:hint="eastAsia" w:ascii="宋体" w:hAnsi="宋体" w:eastAsia="宋体" w:cs="宋体"/>
                <w:color w:val="000000"/>
                <w:kern w:val="0"/>
                <w:sz w:val="22"/>
              </w:rPr>
            </w:pPr>
          </w:p>
        </w:tc>
      </w:tr>
      <w:tr w14:paraId="6820E17E">
        <w:tblPrEx>
          <w:tblCellMar>
            <w:top w:w="0" w:type="dxa"/>
            <w:left w:w="108" w:type="dxa"/>
            <w:bottom w:w="0" w:type="dxa"/>
            <w:right w:w="108" w:type="dxa"/>
          </w:tblCellMar>
        </w:tblPrEx>
        <w:trPr>
          <w:trHeight w:val="348" w:hRule="atLeast"/>
          <w:jc w:val="center"/>
        </w:trPr>
        <w:tc>
          <w:tcPr>
            <w:tcW w:w="1162" w:type="dxa"/>
            <w:tcBorders>
              <w:top w:val="single" w:color="auto" w:sz="4" w:space="0"/>
              <w:left w:val="single" w:color="auto" w:sz="4" w:space="0"/>
              <w:bottom w:val="single" w:color="auto" w:sz="4" w:space="0"/>
              <w:right w:val="single" w:color="auto" w:sz="4" w:space="0"/>
            </w:tcBorders>
            <w:noWrap/>
            <w:vAlign w:val="center"/>
          </w:tcPr>
          <w:p w14:paraId="59761E66">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合计</w:t>
            </w:r>
          </w:p>
        </w:tc>
        <w:tc>
          <w:tcPr>
            <w:tcW w:w="1378" w:type="dxa"/>
            <w:tcBorders>
              <w:top w:val="single" w:color="auto" w:sz="4" w:space="0"/>
              <w:left w:val="single" w:color="auto" w:sz="4" w:space="0"/>
              <w:bottom w:val="single" w:color="auto" w:sz="4" w:space="0"/>
              <w:right w:val="single" w:color="auto" w:sz="4" w:space="0"/>
            </w:tcBorders>
            <w:noWrap/>
            <w:vAlign w:val="center"/>
          </w:tcPr>
          <w:p w14:paraId="0B2F7996">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b w:val="0"/>
                <w:bCs w:val="0"/>
                <w:color w:val="000000"/>
                <w:kern w:val="0"/>
                <w:sz w:val="22"/>
                <w:lang w:val="en-US" w:eastAsia="zh-CN"/>
              </w:rPr>
            </w:pPr>
          </w:p>
        </w:tc>
        <w:tc>
          <w:tcPr>
            <w:tcW w:w="1241" w:type="dxa"/>
            <w:tcBorders>
              <w:top w:val="single" w:color="auto" w:sz="4" w:space="0"/>
              <w:left w:val="single" w:color="auto" w:sz="4" w:space="0"/>
              <w:bottom w:val="single" w:color="auto" w:sz="4" w:space="0"/>
              <w:right w:val="single" w:color="auto" w:sz="4" w:space="0"/>
            </w:tcBorders>
            <w:noWrap/>
            <w:vAlign w:val="center"/>
          </w:tcPr>
          <w:p w14:paraId="04992062">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b w:val="0"/>
                <w:bCs w:val="0"/>
                <w:color w:val="000000"/>
                <w:kern w:val="0"/>
                <w:sz w:val="22"/>
                <w:lang w:val="en-US" w:eastAsia="zh-CN"/>
              </w:rPr>
            </w:pPr>
          </w:p>
        </w:tc>
        <w:tc>
          <w:tcPr>
            <w:tcW w:w="1131" w:type="dxa"/>
            <w:tcBorders>
              <w:top w:val="single" w:color="auto" w:sz="4" w:space="0"/>
              <w:left w:val="single" w:color="auto" w:sz="4" w:space="0"/>
              <w:bottom w:val="single" w:color="auto" w:sz="4" w:space="0"/>
              <w:right w:val="single" w:color="auto" w:sz="4" w:space="0"/>
            </w:tcBorders>
            <w:noWrap/>
            <w:vAlign w:val="center"/>
          </w:tcPr>
          <w:p w14:paraId="16BCB350">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b w:val="0"/>
                <w:bCs w:val="0"/>
                <w:color w:val="000000"/>
                <w:kern w:val="0"/>
                <w:sz w:val="22"/>
                <w:lang w:val="en-US" w:eastAsia="zh-CN"/>
              </w:rPr>
            </w:pPr>
          </w:p>
        </w:tc>
        <w:tc>
          <w:tcPr>
            <w:tcW w:w="1149" w:type="dxa"/>
            <w:tcBorders>
              <w:top w:val="single" w:color="auto" w:sz="4" w:space="0"/>
              <w:left w:val="single" w:color="auto" w:sz="4" w:space="0"/>
              <w:bottom w:val="single" w:color="auto" w:sz="4" w:space="0"/>
              <w:right w:val="single" w:color="auto" w:sz="4" w:space="0"/>
            </w:tcBorders>
            <w:noWrap/>
            <w:vAlign w:val="center"/>
          </w:tcPr>
          <w:p w14:paraId="0ED2616F">
            <w:pPr>
              <w:widowControl/>
              <w:spacing w:line="360" w:lineRule="auto"/>
              <w:jc w:val="center"/>
              <w:rPr>
                <w:rFonts w:hint="eastAsia" w:ascii="宋体" w:hAnsi="宋体" w:cs="宋体"/>
                <w:color w:val="000000"/>
                <w:kern w:val="0"/>
                <w:sz w:val="22"/>
                <w:lang w:val="en-US" w:eastAsia="zh-CN"/>
              </w:rPr>
            </w:pPr>
          </w:p>
        </w:tc>
        <w:tc>
          <w:tcPr>
            <w:tcW w:w="737" w:type="dxa"/>
            <w:tcBorders>
              <w:top w:val="single" w:color="auto" w:sz="4" w:space="0"/>
              <w:left w:val="single" w:color="auto" w:sz="4" w:space="0"/>
              <w:bottom w:val="single" w:color="auto" w:sz="4" w:space="0"/>
              <w:right w:val="single" w:color="auto" w:sz="4" w:space="0"/>
            </w:tcBorders>
            <w:noWrap/>
            <w:vAlign w:val="center"/>
          </w:tcPr>
          <w:p w14:paraId="35F9C89E">
            <w:pPr>
              <w:widowControl/>
              <w:spacing w:line="360" w:lineRule="auto"/>
              <w:jc w:val="center"/>
              <w:rPr>
                <w:rFonts w:hint="default" w:ascii="宋体" w:hAnsi="宋体" w:cs="宋体"/>
                <w:color w:val="000000"/>
                <w:kern w:val="0"/>
                <w:sz w:val="22"/>
                <w:lang w:val="en-US" w:eastAsia="zh-CN"/>
              </w:rPr>
            </w:pPr>
          </w:p>
        </w:tc>
        <w:tc>
          <w:tcPr>
            <w:tcW w:w="1622" w:type="dxa"/>
            <w:tcBorders>
              <w:top w:val="single" w:color="auto" w:sz="4" w:space="0"/>
              <w:left w:val="single" w:color="auto" w:sz="4" w:space="0"/>
              <w:bottom w:val="single" w:color="auto" w:sz="4" w:space="0"/>
              <w:right w:val="single" w:color="auto" w:sz="4" w:space="0"/>
            </w:tcBorders>
            <w:noWrap/>
            <w:vAlign w:val="center"/>
          </w:tcPr>
          <w:p w14:paraId="0B328699">
            <w:pPr>
              <w:widowControl/>
              <w:spacing w:line="360" w:lineRule="auto"/>
              <w:jc w:val="center"/>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98.3</w:t>
            </w:r>
          </w:p>
        </w:tc>
        <w:tc>
          <w:tcPr>
            <w:tcW w:w="1119" w:type="dxa"/>
            <w:tcBorders>
              <w:top w:val="single" w:color="auto" w:sz="4" w:space="0"/>
              <w:left w:val="single" w:color="auto" w:sz="4" w:space="0"/>
              <w:bottom w:val="single" w:color="auto" w:sz="4" w:space="0"/>
              <w:right w:val="single" w:color="auto" w:sz="4" w:space="0"/>
            </w:tcBorders>
            <w:noWrap/>
            <w:vAlign w:val="center"/>
          </w:tcPr>
          <w:p w14:paraId="6C4C3194">
            <w:pPr>
              <w:widowControl/>
              <w:spacing w:line="360" w:lineRule="auto"/>
              <w:jc w:val="center"/>
              <w:rPr>
                <w:rFonts w:hint="eastAsia" w:ascii="宋体" w:hAnsi="宋体" w:eastAsia="宋体" w:cs="宋体"/>
                <w:color w:val="000000"/>
                <w:kern w:val="0"/>
                <w:sz w:val="22"/>
              </w:rPr>
            </w:pPr>
          </w:p>
        </w:tc>
      </w:tr>
    </w:tbl>
    <w:p w14:paraId="680D7B4C">
      <w:pPr>
        <w:rPr>
          <w:rFonts w:hint="eastAsia" w:ascii="仿宋_GB2312" w:hAnsi="仿宋_GB2312" w:eastAsia="仿宋_GB2312" w:cs="仿宋_GB2312"/>
          <w:b/>
          <w:bCs/>
          <w:sz w:val="30"/>
          <w:szCs w:val="30"/>
          <w:lang w:val="en-US" w:eastAsia="zh-CN"/>
        </w:rPr>
      </w:pPr>
    </w:p>
    <w:p w14:paraId="1915976A">
      <w:pPr>
        <w:rPr>
          <w:rFonts w:hint="eastAsia" w:ascii="仿宋_GB2312" w:hAnsi="仿宋_GB2312" w:eastAsia="仿宋_GB2312" w:cs="仿宋_GB2312"/>
          <w:b/>
          <w:bCs/>
          <w:sz w:val="30"/>
          <w:szCs w:val="30"/>
          <w:lang w:val="en-US" w:eastAsia="zh-CN"/>
        </w:rPr>
      </w:pPr>
      <w:r>
        <w:rPr>
          <w:rFonts w:hint="eastAsia" w:ascii="仿宋_GB2312" w:hAnsi="仿宋_GB2312" w:eastAsia="仿宋_GB2312" w:cs="仿宋_GB2312"/>
          <w:b/>
          <w:bCs/>
          <w:sz w:val="30"/>
          <w:szCs w:val="30"/>
          <w:lang w:val="en-US" w:eastAsia="zh-CN"/>
        </w:rPr>
        <w:t>二、项目决策及资金使用管理情况</w:t>
      </w:r>
    </w:p>
    <w:p w14:paraId="4BFEAC66">
      <w:pPr>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（一）项目资金安排落实和使用情况</w:t>
      </w:r>
    </w:p>
    <w:p w14:paraId="0C4CEBA1">
      <w:pPr>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2024年度保亭县安康医院改扩建工程到位资金12000000元，支出10000000元。</w:t>
      </w:r>
    </w:p>
    <w:p w14:paraId="10092620">
      <w:pPr>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（二）项目资金管理情况</w:t>
      </w:r>
    </w:p>
    <w:p w14:paraId="14A149A9">
      <w:pPr>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2024年度保亭县安康医院改扩建工程相关资金实行专款专用，严格遵循财务内控制度，按预算支出，未发现有挤占或挪用项目资金的情况。</w:t>
      </w:r>
    </w:p>
    <w:p w14:paraId="5C16885F">
      <w:pPr>
        <w:rPr>
          <w:rFonts w:hint="eastAsia" w:ascii="仿宋_GB2312" w:hAnsi="仿宋_GB2312" w:eastAsia="仿宋_GB2312" w:cs="仿宋_GB2312"/>
          <w:b/>
          <w:bCs/>
          <w:sz w:val="30"/>
          <w:szCs w:val="30"/>
          <w:lang w:val="en-US" w:eastAsia="zh-CN"/>
        </w:rPr>
      </w:pPr>
      <w:r>
        <w:rPr>
          <w:rFonts w:hint="eastAsia" w:ascii="仿宋_GB2312" w:hAnsi="仿宋_GB2312" w:eastAsia="仿宋_GB2312" w:cs="仿宋_GB2312"/>
          <w:b/>
          <w:bCs/>
          <w:sz w:val="30"/>
          <w:szCs w:val="30"/>
          <w:lang w:val="en-US" w:eastAsia="zh-CN"/>
        </w:rPr>
        <w:t>三、项目组织实施情况</w:t>
      </w:r>
    </w:p>
    <w:p w14:paraId="13913C71">
      <w:pPr>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项目管理情况：保亭县卫健委成立工程建设项目办公室，由主要领导任组长，分管领导任副组长，组员包括各组室相关人员。每月底组织施工方、监理、全过程咨询服务公司、设计院、我委项目办人员召开月度协调会，了解项目最新进展和存在的问题，并及时协调其他部门解决。项目进度款严格遵循三重一大原则，由党组会讨论同意后方可支付,确保资金支付的公平、公正、公开。</w:t>
      </w:r>
    </w:p>
    <w:p w14:paraId="51671D69">
      <w:pPr>
        <w:rPr>
          <w:rFonts w:hint="eastAsia" w:ascii="仿宋_GB2312" w:hAnsi="仿宋_GB2312" w:eastAsia="仿宋_GB2312" w:cs="仿宋_GB2312"/>
          <w:b/>
          <w:bCs/>
          <w:sz w:val="30"/>
          <w:szCs w:val="30"/>
          <w:lang w:val="en-US" w:eastAsia="zh-CN"/>
        </w:rPr>
      </w:pPr>
      <w:r>
        <w:rPr>
          <w:rFonts w:hint="eastAsia" w:ascii="仿宋_GB2312" w:hAnsi="仿宋_GB2312" w:eastAsia="仿宋_GB2312" w:cs="仿宋_GB2312"/>
          <w:b/>
          <w:bCs/>
          <w:sz w:val="30"/>
          <w:szCs w:val="30"/>
          <w:lang w:val="en-US" w:eastAsia="zh-CN"/>
        </w:rPr>
        <w:t>四、项目绩效情况</w:t>
      </w:r>
    </w:p>
    <w:p w14:paraId="7F0424AE">
      <w:pPr>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绩效目标完成情况如下：</w:t>
      </w:r>
    </w:p>
    <w:p w14:paraId="6D268AEA">
      <w:pPr>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经济性：项目资金根据相关资金管理办法和实际建设内容控制经费使用，2024年度支出10000000元，符合预算规定，无重复开支、乱开支、超支与挪用现象。</w:t>
      </w:r>
    </w:p>
    <w:p w14:paraId="78FBA599">
      <w:pPr>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有效性：本项目的建设可促进相关产业（如钢铁、建材等）的发展，直接提供大量就业岗位，并大大增强人民群众就医服务的获得感、幸福感。</w:t>
      </w:r>
    </w:p>
    <w:p w14:paraId="3222D87D">
      <w:pPr>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效率性：截至绩效评价日，项目已竣工。为保障项目的质量和安全，我委要求制定现场施工质量安全条例，经现场监理工程师批准和县质检站同意分项验收合格后才可进行下一道工序。同时现场监理不定期抽查现场工艺，发现质量和安全隐患问题及时出具整改通知书，要求施工方严格落实整改，情节严重则开具罚款单。</w:t>
      </w:r>
    </w:p>
    <w:p w14:paraId="3233061B">
      <w:pPr>
        <w:rPr>
          <w:rFonts w:hint="eastAsia" w:ascii="仿宋_GB2312" w:hAnsi="仿宋_GB2312" w:eastAsia="仿宋_GB2312" w:cs="仿宋_GB2312"/>
          <w:b/>
          <w:bCs/>
          <w:sz w:val="30"/>
          <w:szCs w:val="30"/>
          <w:lang w:val="en-US" w:eastAsia="zh-CN"/>
        </w:rPr>
      </w:pPr>
      <w:r>
        <w:rPr>
          <w:rFonts w:hint="eastAsia" w:ascii="仿宋_GB2312" w:hAnsi="仿宋_GB2312" w:eastAsia="仿宋_GB2312" w:cs="仿宋_GB2312"/>
          <w:b/>
          <w:bCs/>
          <w:sz w:val="30"/>
          <w:szCs w:val="30"/>
          <w:lang w:val="en-US" w:eastAsia="zh-CN"/>
        </w:rPr>
        <w:t>五、下一步计划</w:t>
      </w:r>
    </w:p>
    <w:p w14:paraId="5796E5E2">
      <w:pPr>
        <w:pStyle w:val="2"/>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要求施工单位严格按照倒排工期表施工，压实监理责任，在保质保量的前提下，加快项目推进。</w:t>
      </w:r>
    </w:p>
    <w:p w14:paraId="3B8B9E0D">
      <w:pPr>
        <w:rPr>
          <w:rFonts w:hint="eastAsia" w:ascii="仿宋_GB2312" w:hAnsi="仿宋_GB2312" w:eastAsia="仿宋_GB2312" w:cs="仿宋_GB2312"/>
          <w:sz w:val="30"/>
          <w:szCs w:val="30"/>
          <w:lang w:val="en-US" w:eastAsia="zh-CN"/>
        </w:rPr>
      </w:pPr>
    </w:p>
    <w:p w14:paraId="2B8E8C49">
      <w:pPr>
        <w:pStyle w:val="2"/>
        <w:ind w:firstLine="3300" w:firstLineChars="1100"/>
        <w:rPr>
          <w:rFonts w:hint="eastAsia"/>
          <w:sz w:val="30"/>
          <w:szCs w:val="30"/>
          <w:lang w:val="en-US" w:eastAsia="zh-CN"/>
        </w:rPr>
      </w:pPr>
      <w:r>
        <w:rPr>
          <w:rFonts w:hint="eastAsia"/>
          <w:sz w:val="30"/>
          <w:szCs w:val="30"/>
          <w:lang w:val="en-US" w:eastAsia="zh-CN"/>
        </w:rPr>
        <w:t>保亭黎族苗族自治县卫生健康委员会</w:t>
      </w:r>
    </w:p>
    <w:p w14:paraId="74C25C14">
      <w:pPr>
        <w:ind w:firstLine="4500" w:firstLineChars="1500"/>
        <w:rPr>
          <w:rFonts w:hint="default"/>
          <w:sz w:val="30"/>
          <w:szCs w:val="30"/>
          <w:lang w:val="en-US" w:eastAsia="zh-CN"/>
        </w:rPr>
      </w:pPr>
      <w:r>
        <w:rPr>
          <w:rFonts w:hint="eastAsia"/>
          <w:sz w:val="30"/>
          <w:szCs w:val="30"/>
          <w:lang w:val="en-US" w:eastAsia="zh-CN"/>
        </w:rPr>
        <w:t>2025年5月1日</w:t>
      </w:r>
    </w:p>
    <w:p w14:paraId="5943EE47">
      <w:pPr>
        <w:ind w:firstLine="420" w:firstLineChars="200"/>
        <w:rPr>
          <w:rFonts w:hint="default"/>
          <w:lang w:val="en-US" w:eastAsia="zh-CN"/>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Q1Mzk2NzNlZjMxNTk0NTEyMGJhNjMwMmMwZjcxNjMifQ=="/>
  </w:docVars>
  <w:rsids>
    <w:rsidRoot w:val="00000000"/>
    <w:rsid w:val="01324E62"/>
    <w:rsid w:val="06690D32"/>
    <w:rsid w:val="0FA77450"/>
    <w:rsid w:val="15CD181A"/>
    <w:rsid w:val="24A42DB6"/>
    <w:rsid w:val="27765E26"/>
    <w:rsid w:val="29EC6E05"/>
    <w:rsid w:val="2A5046E0"/>
    <w:rsid w:val="300B2A79"/>
    <w:rsid w:val="32E4512F"/>
    <w:rsid w:val="3F277CDA"/>
    <w:rsid w:val="47192306"/>
    <w:rsid w:val="49C4687C"/>
    <w:rsid w:val="4BDC1E2B"/>
    <w:rsid w:val="4D001B6A"/>
    <w:rsid w:val="4F573049"/>
    <w:rsid w:val="55254864"/>
    <w:rsid w:val="5BA27B68"/>
    <w:rsid w:val="5C65182B"/>
    <w:rsid w:val="62C25BBA"/>
    <w:rsid w:val="6B270CB9"/>
    <w:rsid w:val="6D374CDD"/>
    <w:rsid w:val="706D25DF"/>
    <w:rsid w:val="740B394F"/>
    <w:rsid w:val="787155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oa heading"/>
    <w:basedOn w:val="1"/>
    <w:next w:val="1"/>
    <w:qFormat/>
    <w:uiPriority w:val="0"/>
    <w:pPr>
      <w:spacing w:before="120"/>
    </w:pPr>
    <w:rPr>
      <w:rFonts w:ascii="Arial" w:hAnsi="Arial"/>
    </w:rPr>
  </w:style>
  <w:style w:type="paragraph" w:styleId="3">
    <w:name w:val="Normal Indent"/>
    <w:basedOn w:val="1"/>
    <w:unhideWhenUsed/>
    <w:qFormat/>
    <w:uiPriority w:val="99"/>
    <w:pPr>
      <w:ind w:firstLine="420" w:firstLineChars="200"/>
    </w:pPr>
  </w:style>
  <w:style w:type="paragraph" w:customStyle="1" w:styleId="6">
    <w:name w:val="海南化工城正文"/>
    <w:basedOn w:val="7"/>
    <w:qFormat/>
    <w:uiPriority w:val="0"/>
    <w:pPr>
      <w:ind w:firstLine="480"/>
    </w:pPr>
  </w:style>
  <w:style w:type="paragraph" w:customStyle="1" w:styleId="7">
    <w:name w:val="样式 电镀正文 + 首行缩进:  2 字符"/>
    <w:basedOn w:val="8"/>
    <w:qFormat/>
    <w:uiPriority w:val="0"/>
    <w:pPr>
      <w:spacing w:line="324" w:lineRule="auto"/>
    </w:pPr>
    <w:rPr>
      <w:rFonts w:cs="宋体"/>
      <w:szCs w:val="20"/>
    </w:rPr>
  </w:style>
  <w:style w:type="paragraph" w:customStyle="1" w:styleId="8">
    <w:name w:val="电镀正文"/>
    <w:basedOn w:val="3"/>
    <w:qFormat/>
    <w:uiPriority w:val="0"/>
    <w:pPr>
      <w:spacing w:line="400" w:lineRule="exact"/>
      <w:ind w:firstLine="200"/>
    </w:pPr>
    <w:rPr>
      <w:rFonts w:ascii="宋体" w:hAnsi="宋体"/>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1014</Words>
  <Characters>1112</Characters>
  <Lines>0</Lines>
  <Paragraphs>0</Paragraphs>
  <TotalTime>6</TotalTime>
  <ScaleCrop>false</ScaleCrop>
  <LinksUpToDate>false</LinksUpToDate>
  <CharactersWithSpaces>1112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2022-06-30T09:51:00Z</dcterms:created>
  <dc:creator>Administrator</dc:creator>
  <cp:lastModifiedBy>县卫生健康委员会收发员</cp:lastModifiedBy>
  <dcterms:modified xsi:type="dcterms:W3CDTF">2025-05-19T01:30:49Z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11D2B78DCF894FE2B5FD570C22213334</vt:lpwstr>
  </property>
  <property fmtid="{D5CDD505-2E9C-101B-9397-08002B2CF9AE}" pid="4" name="KSOTemplateDocerSaveRecord">
    <vt:lpwstr>eyJoZGlkIjoiN2YzNjBkOTgyNWQ1YTMxYzM3MzMwNWFiODNmOWIzYWMifQ==</vt:lpwstr>
  </property>
</Properties>
</file>