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lang w:eastAsia="zh-CN"/>
        </w:rPr>
      </w:pPr>
      <w:r>
        <w:rPr>
          <w:rFonts w:hint="eastAsia" w:ascii="仿宋_GB2312" w:hAnsi="仿宋_GB2312" w:eastAsia="仿宋_GB2312" w:cs="仿宋_GB2312"/>
          <w:b/>
          <w:sz w:val="44"/>
          <w:szCs w:val="44"/>
          <w:lang w:eastAsia="zh-CN"/>
        </w:rPr>
        <w:t>保亭县石带水厂及配套管网工程</w:t>
      </w:r>
    </w:p>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rPr>
        <w:t>绩效</w:t>
      </w:r>
      <w:r>
        <w:rPr>
          <w:rFonts w:hint="eastAsia" w:ascii="仿宋_GB2312" w:hAnsi="仿宋_GB2312" w:eastAsia="仿宋_GB2312" w:cs="仿宋_GB2312"/>
          <w:b/>
          <w:sz w:val="44"/>
          <w:szCs w:val="44"/>
          <w:lang w:eastAsia="zh-CN"/>
        </w:rPr>
        <w:t>自评</w:t>
      </w:r>
      <w:r>
        <w:rPr>
          <w:rFonts w:hint="eastAsia" w:ascii="仿宋_GB2312" w:hAnsi="仿宋_GB2312" w:eastAsia="仿宋_GB2312" w:cs="仿宋_GB2312"/>
          <w:b/>
          <w:sz w:val="44"/>
          <w:szCs w:val="44"/>
        </w:rPr>
        <w:t>报告</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一、项目概况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保亭县水务服务中心的基本职责是落实有关水务、水利工作方面的方针政策、法律法规，管理全县水资源，落实水土保持工作，水利工程移民建设，水务设施管护，对全县蓄水、供排水、病险水库加固等水务设施的建设和管护，并承担水务项目法人职责，做好项目建设跟踪服务工作，协调解决项目建设存在的问题。</w:t>
      </w:r>
    </w:p>
    <w:p>
      <w:pPr>
        <w:keepNext w:val="0"/>
        <w:keepLines w:val="0"/>
        <w:pageBreakBefore w:val="0"/>
        <w:widowControl w:val="0"/>
        <w:numPr>
          <w:ilvl w:val="0"/>
          <w:numId w:val="1"/>
        </w:numPr>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项目基本性质，用途和主要内容、涉及范围</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新建石带水厂与现有新政水厂形成双水源互补联合向</w:t>
      </w:r>
      <w:r>
        <w:rPr>
          <w:rFonts w:hint="eastAsia" w:ascii="仿宋_GB2312" w:hAnsi="仿宋_GB2312" w:eastAsia="仿宋_GB2312" w:cs="仿宋_GB2312"/>
          <w:sz w:val="32"/>
          <w:szCs w:val="32"/>
          <w:lang w:val="en-US" w:eastAsia="zh-CN"/>
        </w:rPr>
        <w:t>8个乡镇供水。石带水厂供水规模4.2万m³/d，以石带支流河毛辉支流作为水源，新建输水管总长约4700米，配水管总长23027米，新建拦水坝2座。主要建设内容包括取水工程、输水工程、净水厂工程、配水工程、电气工程及附属工程等。</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二、项目资金使用及管理情况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（一）项目资金</w:t>
      </w:r>
      <w:r>
        <w:rPr>
          <w:rFonts w:hint="eastAsia" w:ascii="仿宋_GB2312" w:hAnsi="仿宋_GB2312" w:eastAsia="仿宋_GB2312" w:cs="仿宋_GB2312"/>
          <w:sz w:val="32"/>
          <w:szCs w:val="32"/>
          <w:lang w:eastAsia="zh-CN"/>
        </w:rPr>
        <w:t>到位</w:t>
      </w:r>
      <w:r>
        <w:rPr>
          <w:rFonts w:hint="eastAsia" w:ascii="仿宋_GB2312" w:hAnsi="仿宋_GB2312" w:eastAsia="仿宋_GB2312" w:cs="仿宋_GB2312"/>
          <w:sz w:val="32"/>
          <w:szCs w:val="32"/>
        </w:rPr>
        <w:t>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保亭县财政局《关于下达2024年省级转贷我县新增地债资金（第一批）的通知》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保亭县石带水厂及配套管网工程专项债资金</w:t>
      </w:r>
      <w:r>
        <w:rPr>
          <w:rFonts w:hint="eastAsia" w:ascii="仿宋_GB2312" w:hAnsi="仿宋_GB2312" w:eastAsia="仿宋_GB2312" w:cs="仿宋_GB2312"/>
          <w:sz w:val="32"/>
          <w:szCs w:val="32"/>
          <w:lang w:val="en-US" w:eastAsia="zh-CN"/>
        </w:rPr>
        <w:t>2000万元；保亭县财政局《关于下达2024年省级转贷我县新增地债资金的通知》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保亭县石带水厂及配套管网工程专项债资金</w:t>
      </w:r>
      <w:r>
        <w:rPr>
          <w:rFonts w:hint="eastAsia" w:ascii="仿宋_GB2312" w:hAnsi="仿宋_GB2312" w:eastAsia="仿宋_GB2312" w:cs="仿宋_GB2312"/>
          <w:sz w:val="32"/>
          <w:szCs w:val="32"/>
          <w:lang w:val="en-US" w:eastAsia="zh-CN"/>
        </w:rPr>
        <w:t>3000万元。保亭县财政局《关于下达2024年省级转贷我县新增地债资金（第三批）的通知》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保亭县石带水厂及配套管网工程专项债资金</w:t>
      </w:r>
      <w:r>
        <w:rPr>
          <w:rFonts w:hint="eastAsia" w:ascii="仿宋_GB2312" w:hAnsi="仿宋_GB2312" w:eastAsia="仿宋_GB2312" w:cs="仿宋_GB2312"/>
          <w:sz w:val="32"/>
          <w:szCs w:val="32"/>
          <w:lang w:val="en-US" w:eastAsia="zh-CN"/>
        </w:rPr>
        <w:t>2000万元。</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（二）项目资金使用情况分析。</w:t>
      </w:r>
    </w:p>
    <w:p>
      <w:pPr>
        <w:pStyle w:val="2"/>
        <w:rPr>
          <w:rFonts w:hint="eastAsia"/>
          <w:lang w:val="en-US" w:eastAsia="zh-CN"/>
        </w:rPr>
      </w:pP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保亭县石带水厂及配套管网工程到位资金</w:t>
      </w:r>
      <w:r>
        <w:rPr>
          <w:rFonts w:hint="eastAsia" w:ascii="仿宋_GB2312" w:hAnsi="仿宋_GB2312" w:eastAsia="仿宋_GB2312" w:cs="仿宋_GB2312"/>
          <w:sz w:val="32"/>
          <w:szCs w:val="32"/>
          <w:lang w:val="en-US" w:eastAsia="zh-CN"/>
        </w:rPr>
        <w:t>7000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实际执行数为</w:t>
      </w:r>
      <w:r>
        <w:rPr>
          <w:rFonts w:hint="eastAsia" w:ascii="仿宋_GB2312" w:hAnsi="仿宋_GB2312" w:eastAsia="仿宋_GB2312" w:cs="仿宋_GB2312"/>
          <w:sz w:val="32"/>
          <w:szCs w:val="32"/>
          <w:lang w:val="en-US" w:eastAsia="zh-CN"/>
        </w:rPr>
        <w:t>7000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lang w:val="en-US" w:eastAsia="zh-CN"/>
        </w:rPr>
        <w:t>预算执行率为100%。</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）项目资金管理情况</w:t>
      </w:r>
      <w:r>
        <w:rPr>
          <w:rFonts w:hint="eastAsia" w:ascii="仿宋_GB2312" w:hAnsi="仿宋_GB2312" w:eastAsia="仿宋_GB2312" w:cs="仿宋_GB2312"/>
          <w:bCs/>
          <w:color w:val="000000"/>
          <w:sz w:val="32"/>
          <w:szCs w:val="32"/>
        </w:rPr>
        <w:t>分析。</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项目申请的专项债券额度与项目建设的实际需要相匹配；项目成本和预期收益的测算有相应的依据</w:t>
      </w:r>
      <w:r>
        <w:rPr>
          <w:rFonts w:hint="eastAsia" w:ascii="仿宋_GB2312" w:hAnsi="仿宋_GB2312" w:eastAsia="仿宋_GB2312" w:cs="仿宋_GB2312"/>
          <w:sz w:val="32"/>
          <w:szCs w:val="32"/>
          <w:highlight w:val="none"/>
          <w:lang w:eastAsia="zh-CN"/>
        </w:rPr>
        <w:t>，项目各年度收支平衡，能够实现偿本付息，</w:t>
      </w:r>
      <w:r>
        <w:rPr>
          <w:rFonts w:hint="eastAsia" w:ascii="仿宋_GB2312" w:hAnsi="仿宋_GB2312" w:eastAsia="仿宋_GB2312" w:cs="仿宋_GB2312"/>
          <w:sz w:val="32"/>
          <w:szCs w:val="32"/>
          <w:highlight w:val="none"/>
          <w:lang w:val="en-US" w:eastAsia="zh-CN"/>
        </w:rPr>
        <w:t>并纳入政府性基金预算管理</w:t>
      </w:r>
      <w:r>
        <w:rPr>
          <w:rFonts w:hint="eastAsia" w:ascii="仿宋_GB2312" w:hAnsi="仿宋_GB2312" w:eastAsia="仿宋_GB2312" w:cs="仿宋_GB2312"/>
          <w:sz w:val="32"/>
          <w:szCs w:val="32"/>
          <w:highlight w:val="none"/>
        </w:rPr>
        <w:t>；专项债券期限与项目建设和运营期限</w:t>
      </w:r>
      <w:r>
        <w:rPr>
          <w:rFonts w:hint="eastAsia" w:ascii="仿宋_GB2312" w:hAnsi="仿宋_GB2312" w:eastAsia="仿宋_GB2312" w:cs="仿宋_GB2312"/>
          <w:sz w:val="32"/>
          <w:szCs w:val="32"/>
          <w:highlight w:val="none"/>
          <w:lang w:val="en-US" w:eastAsia="zh-CN"/>
        </w:rPr>
        <w:t>相</w:t>
      </w:r>
      <w:r>
        <w:rPr>
          <w:rFonts w:hint="eastAsia" w:ascii="仿宋_GB2312" w:hAnsi="仿宋_GB2312" w:eastAsia="仿宋_GB2312" w:cs="仿宋_GB2312"/>
          <w:sz w:val="32"/>
          <w:szCs w:val="32"/>
          <w:highlight w:val="none"/>
        </w:rPr>
        <w:t>匹配；</w:t>
      </w:r>
      <w:r>
        <w:rPr>
          <w:rFonts w:hint="eastAsia" w:ascii="仿宋_GB2312" w:hAnsi="仿宋_GB2312" w:eastAsia="仿宋_GB2312" w:cs="仿宋_GB2312"/>
          <w:sz w:val="32"/>
          <w:szCs w:val="32"/>
          <w:highlight w:val="none"/>
          <w:lang w:val="en-US" w:eastAsia="zh-CN"/>
        </w:rPr>
        <w:t>专项债券资金到位及时；项目实施单位具有相应的财务、业务管理制度，合法、合规、完整；项目按照政府信息公开将地方政府专项债券项目的有关信息在“中国地方政府债券信息公开平台”上进行公开；项目招标和采购的程序及手续符合相关法律法规规定，合同签订规范</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三、项目组织实施情况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lang w:eastAsia="zh-CN"/>
        </w:rPr>
        <w:t>保亭县石带水厂及配套管网工程，经县政府批准同意由县城投公司任项目法人负责组织实施。项目经公开招投标招聘施工单位，</w:t>
      </w:r>
      <w:r>
        <w:rPr>
          <w:rFonts w:hint="eastAsia" w:ascii="仿宋_GB2312" w:hAnsi="仿宋_GB2312" w:eastAsia="仿宋_GB2312" w:cs="仿宋_GB2312"/>
          <w:bCs/>
          <w:color w:val="000000"/>
          <w:sz w:val="32"/>
          <w:szCs w:val="32"/>
        </w:rPr>
        <w:t xml:space="preserve">严格按照制定的管理制度以及财务制度来执行和落实。 </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为使项目的管理更加规范，支出更加高效，根据我中心的业务工作规划和财务管理制度，对整个项目进行统筹安排及组织实施，确保项目按计划顺利开展。</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四、项目绩效情况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sz w:val="32"/>
          <w:szCs w:val="32"/>
        </w:rPr>
        <w:t>项目绩效目标完成情况分析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1、项目的经济性分析。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rPr>
        <w:t>本项目预算投资</w:t>
      </w:r>
      <w:r>
        <w:rPr>
          <w:rFonts w:hint="eastAsia" w:ascii="仿宋_GB2312" w:hAnsi="仿宋_GB2312" w:eastAsia="仿宋_GB2312" w:cs="仿宋_GB2312"/>
          <w:sz w:val="32"/>
          <w:szCs w:val="32"/>
          <w:lang w:val="en-US" w:eastAsia="zh-CN"/>
        </w:rPr>
        <w:t>7000</w:t>
      </w:r>
      <w:r>
        <w:rPr>
          <w:rFonts w:hint="eastAsia" w:ascii="仿宋_GB2312" w:hAnsi="仿宋_GB2312" w:eastAsia="仿宋_GB2312" w:cs="仿宋_GB2312"/>
          <w:sz w:val="32"/>
          <w:szCs w:val="32"/>
        </w:rPr>
        <w:t>万元，用于</w:t>
      </w:r>
      <w:r>
        <w:rPr>
          <w:rFonts w:hint="eastAsia" w:ascii="仿宋_GB2312" w:hAnsi="仿宋_GB2312" w:eastAsia="仿宋_GB2312" w:cs="仿宋_GB2312"/>
          <w:sz w:val="32"/>
          <w:szCs w:val="32"/>
          <w:lang w:eastAsia="zh-CN"/>
        </w:rPr>
        <w:t>保亭县石带水厂及配套管网工程</w:t>
      </w:r>
      <w:r>
        <w:rPr>
          <w:rFonts w:hint="eastAsia" w:ascii="仿宋_GB2312" w:hAnsi="仿宋_GB2312" w:eastAsia="仿宋_GB2312" w:cs="仿宋_GB2312"/>
          <w:sz w:val="32"/>
          <w:szCs w:val="32"/>
        </w:rPr>
        <w:t>。项目经费根据相关资金管理办法</w:t>
      </w:r>
      <w:r>
        <w:rPr>
          <w:rFonts w:hint="eastAsia" w:ascii="仿宋_GB2312" w:hAnsi="仿宋_GB2312" w:eastAsia="仿宋_GB2312" w:cs="仿宋_GB2312"/>
          <w:sz w:val="32"/>
          <w:szCs w:val="32"/>
          <w:lang w:eastAsia="zh-CN"/>
        </w:rPr>
        <w:t>和实际建设内容</w:t>
      </w:r>
      <w:r>
        <w:rPr>
          <w:rFonts w:hint="eastAsia" w:ascii="仿宋_GB2312" w:hAnsi="仿宋_GB2312" w:eastAsia="仿宋_GB2312" w:cs="仿宋_GB2312"/>
          <w:sz w:val="32"/>
          <w:szCs w:val="32"/>
        </w:rPr>
        <w:t>严格控制经费使用，项目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7000</w:t>
      </w:r>
      <w:r>
        <w:rPr>
          <w:rFonts w:hint="eastAsia" w:ascii="仿宋_GB2312" w:hAnsi="仿宋_GB2312" w:eastAsia="仿宋_GB2312" w:cs="仿宋_GB2312"/>
          <w:sz w:val="32"/>
          <w:szCs w:val="32"/>
        </w:rPr>
        <w:t>万元，符合项目预算规定，</w:t>
      </w:r>
      <w:r>
        <w:rPr>
          <w:rFonts w:hint="eastAsia" w:ascii="仿宋_GB2312" w:hAnsi="仿宋_GB2312" w:eastAsia="仿宋_GB2312" w:cs="仿宋_GB2312"/>
          <w:sz w:val="32"/>
          <w:szCs w:val="32"/>
          <w:lang w:eastAsia="zh-CN"/>
        </w:rPr>
        <w:t>无重复开支、乱开支、</w:t>
      </w:r>
      <w:r>
        <w:rPr>
          <w:rFonts w:hint="eastAsia" w:ascii="仿宋_GB2312" w:hAnsi="仿宋_GB2312" w:eastAsia="仿宋_GB2312" w:cs="仿宋_GB2312"/>
          <w:sz w:val="32"/>
          <w:szCs w:val="32"/>
        </w:rPr>
        <w:t>超支与挪用现象。</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根据项目内容确定，严格项目开支管理，严格控制经费使用，无重复开支和乱开支现象，项目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7000</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2、项目的效率性分析。</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项目于2023年12月完成招标并进场施工，截至2024年12月完成工程项目进度为63%，</w:t>
      </w:r>
      <w:r>
        <w:rPr>
          <w:rFonts w:hint="eastAsia" w:ascii="仿宋_GB2312" w:hAnsi="仿宋_GB2312" w:eastAsia="仿宋_GB2312" w:cs="仿宋_GB2312"/>
          <w:sz w:val="32"/>
          <w:szCs w:val="32"/>
          <w:lang w:eastAsia="zh-CN"/>
        </w:rPr>
        <w:t>项目经费按计划合理合法规范支出，做到不拖欠也不延期，开支途径顺畅，确保项目顺利实施。</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（2）项目完成质量</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lang w:eastAsia="zh-CN"/>
        </w:rPr>
      </w:pPr>
      <w:r>
        <w:rPr>
          <w:rFonts w:hint="eastAsia" w:ascii="仿宋_GB2312" w:hAnsi="仿宋_GB2312" w:eastAsia="仿宋_GB2312" w:cs="仿宋_GB2312"/>
          <w:color w:val="auto"/>
          <w:sz w:val="32"/>
          <w:szCs w:val="32"/>
          <w:highlight w:val="none"/>
          <w:lang w:val="en-US" w:eastAsia="zh-CN"/>
        </w:rPr>
        <w:t xml:space="preserve">    制定现场施工质量安全条例，施工方需在取得施工许可证以及开工令后方可进场施工。在分项验收过程中需经现场监理工程师批准和县质检站同意后方可进行下一道工序，同时现场监理也会不定期抽查现场工艺，发现质量及安全生产隐患问题都会及时出具整改通知书，勒令施工方严格落实整改，情节严重则开具罚款单，直至整改完成，确保做到安全施工、文明施工。</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3、项目的效益性分析。</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该项目按照方案有计划、有步骤稳妥实施，已全部完成工作任务，达到预期目的。</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（2）项目实施对经济和社会的影响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该项目建设解决了百姓的饮水安全问题，使农村与水有关的疾病发病率大幅度降低，特别是降低了由于水质问题引发传染病的可能性创造了良好社会环境。</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4、项目的可持续性分析。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加强后期管护，保持农村饮水安全的可持续发展，促进地区经济、社会、自然、文化稳定、协调和可持续发展。</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5、项目预算批复的绩效指标完成情况分析</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产出指标：在规定的时间完成工作，绩效标准达到“</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成效指标：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微软雅黑" w:hAnsi="微软雅黑" w:eastAsia="微软雅黑" w:cs="微软雅黑"/>
          <w:b w:val="0"/>
          <w:bCs/>
          <w:sz w:val="32"/>
          <w:szCs w:val="32"/>
          <w:lang w:val="en-US" w:eastAsia="zh-CN"/>
        </w:rPr>
        <w:t xml:space="preserve">  </w:t>
      </w:r>
      <w:r>
        <w:rPr>
          <w:rFonts w:hint="eastAsia" w:ascii="微软雅黑" w:hAnsi="微软雅黑" w:eastAsia="微软雅黑" w:cs="微软雅黑"/>
          <w:b w:val="0"/>
          <w:bCs/>
          <w:sz w:val="32"/>
          <w:szCs w:val="32"/>
        </w:rPr>
        <w:t>①</w:t>
      </w:r>
      <w:r>
        <w:rPr>
          <w:rFonts w:hint="eastAsia" w:ascii="仿宋_GB2312" w:hAnsi="仿宋_GB2312" w:eastAsia="仿宋_GB2312" w:cs="仿宋_GB2312"/>
          <w:bCs/>
          <w:color w:val="000000"/>
          <w:kern w:val="0"/>
          <w:sz w:val="32"/>
          <w:szCs w:val="32"/>
          <w:lang w:eastAsia="zh-CN"/>
        </w:rPr>
        <w:t>完成工程建设任务</w:t>
      </w:r>
      <w:r>
        <w:rPr>
          <w:rFonts w:hint="eastAsia" w:ascii="仿宋_GB2312" w:hAnsi="仿宋_GB2312" w:eastAsia="仿宋_GB2312" w:cs="仿宋_GB2312"/>
          <w:bCs/>
          <w:sz w:val="32"/>
          <w:szCs w:val="32"/>
        </w:rPr>
        <w:t>率100%，绩效标准达到“</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微软雅黑" w:hAnsi="微软雅黑" w:eastAsia="微软雅黑" w:cs="微软雅黑"/>
          <w:bCs/>
          <w:sz w:val="32"/>
          <w:szCs w:val="32"/>
          <w:lang w:val="en-US" w:eastAsia="zh-CN"/>
        </w:rPr>
        <w:t xml:space="preserve">  </w:t>
      </w:r>
      <w:r>
        <w:rPr>
          <w:rFonts w:hint="eastAsia" w:ascii="微软雅黑" w:hAnsi="微软雅黑" w:eastAsia="微软雅黑" w:cs="微软雅黑"/>
          <w:bCs/>
          <w:sz w:val="32"/>
          <w:szCs w:val="32"/>
        </w:rPr>
        <w:t>②</w:t>
      </w:r>
      <w:r>
        <w:rPr>
          <w:rFonts w:hint="eastAsia" w:ascii="仿宋_GB2312" w:hAnsi="仿宋_GB2312" w:eastAsia="仿宋_GB2312" w:cs="仿宋_GB2312"/>
          <w:bCs/>
          <w:color w:val="000000"/>
          <w:kern w:val="0"/>
          <w:sz w:val="32"/>
          <w:szCs w:val="32"/>
          <w:lang w:eastAsia="zh-CN"/>
        </w:rPr>
        <w:t>服务对象满意度达</w:t>
      </w:r>
      <w:r>
        <w:rPr>
          <w:rFonts w:hint="eastAsia" w:ascii="仿宋_GB2312" w:hAnsi="仿宋_GB2312" w:eastAsia="仿宋_GB2312" w:cs="仿宋_GB2312"/>
          <w:bCs/>
          <w:sz w:val="32"/>
          <w:szCs w:val="32"/>
          <w:lang w:val="en-US" w:eastAsia="zh-CN"/>
        </w:rPr>
        <w:t>90</w:t>
      </w:r>
      <w:r>
        <w:rPr>
          <w:rFonts w:hint="eastAsia" w:ascii="仿宋_GB2312" w:hAnsi="仿宋_GB2312" w:eastAsia="仿宋_GB2312" w:cs="仿宋_GB2312"/>
          <w:bCs/>
          <w:sz w:val="32"/>
          <w:szCs w:val="32"/>
        </w:rPr>
        <w:t>%，绩效标准达到“优”。</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效率指标：成本控制不超预算，绩效标准达到“</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r>
        <w:rPr>
          <w:rFonts w:hint="eastAsia" w:ascii="仿宋_GB2312" w:hAnsi="仿宋_GB2312" w:eastAsia="仿宋_GB2312" w:cs="仿宋_GB2312"/>
          <w:b/>
          <w:bCs/>
          <w:sz w:val="32"/>
          <w:szCs w:val="32"/>
        </w:rPr>
        <w:t>。</w:t>
      </w:r>
    </w:p>
    <w:p>
      <w:pPr>
        <w:keepNext w:val="0"/>
        <w:keepLines w:val="0"/>
        <w:pageBreakBefore w:val="0"/>
        <w:widowControl w:val="0"/>
        <w:numPr>
          <w:ilvl w:val="0"/>
          <w:numId w:val="2"/>
        </w:numPr>
        <w:tabs>
          <w:tab w:val="left" w:pos="900"/>
          <w:tab w:val="left" w:pos="1080"/>
        </w:tabs>
        <w:kinsoku/>
        <w:wordWrap/>
        <w:overflowPunct/>
        <w:topLinePunct w:val="0"/>
        <w:autoSpaceDE/>
        <w:bidi w:val="0"/>
        <w:adjustRightInd/>
        <w:snapToGrid/>
        <w:spacing w:line="600" w:lineRule="exact"/>
        <w:ind w:left="0" w:leftChars="0" w:right="0" w:firstLine="472" w:firstLineChars="147"/>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综合评价情况及评价结论</w:t>
      </w:r>
    </w:p>
    <w:p>
      <w:pPr>
        <w:keepNext w:val="0"/>
        <w:keepLines w:val="0"/>
        <w:pageBreakBefore w:val="0"/>
        <w:widowControl w:val="0"/>
        <w:numPr>
          <w:ilvl w:val="0"/>
          <w:numId w:val="0"/>
        </w:numPr>
        <w:tabs>
          <w:tab w:val="left" w:pos="900"/>
          <w:tab w:val="left" w:pos="1080"/>
        </w:tabs>
        <w:kinsoku/>
        <w:wordWrap/>
        <w:overflowPunct/>
        <w:topLinePunct w:val="0"/>
        <w:autoSpaceDE/>
        <w:bidi w:val="0"/>
        <w:adjustRightInd/>
        <w:snapToGrid/>
        <w:spacing w:line="600" w:lineRule="exact"/>
        <w:ind w:leftChars="147" w:right="0" w:rightChars="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绩效自评总分分值100分，自评得分</w:t>
      </w:r>
      <w:r>
        <w:rPr>
          <w:rFonts w:hint="eastAsia" w:ascii="仿宋_GB2312" w:hAnsi="仿宋_GB2312" w:eastAsia="仿宋_GB2312" w:cs="仿宋_GB2312"/>
          <w:sz w:val="32"/>
          <w:szCs w:val="32"/>
          <w:highlight w:val="none"/>
          <w:lang w:val="en-US" w:eastAsia="zh-CN"/>
        </w:rPr>
        <w:t>89</w:t>
      </w:r>
      <w:r>
        <w:rPr>
          <w:rFonts w:hint="eastAsia" w:ascii="仿宋_GB2312" w:hAnsi="仿宋_GB2312" w:eastAsia="仿宋_GB2312" w:cs="仿宋_GB2312"/>
          <w:sz w:val="32"/>
          <w:szCs w:val="32"/>
          <w:highlight w:val="none"/>
        </w:rPr>
        <w:t>分，评价等级为</w:t>
      </w:r>
      <w:r>
        <w:rPr>
          <w:rFonts w:hint="eastAsia" w:ascii="仿宋_GB2312" w:hAnsi="仿宋_GB2312" w:eastAsia="仿宋_GB2312" w:cs="仿宋_GB2312"/>
          <w:sz w:val="32"/>
          <w:szCs w:val="32"/>
          <w:highlight w:val="none"/>
          <w:lang w:eastAsia="zh-CN"/>
        </w:rPr>
        <w:t>良</w:t>
      </w:r>
      <w:r>
        <w:rPr>
          <w:rFonts w:hint="eastAsia" w:ascii="仿宋_GB2312" w:hAnsi="仿宋_GB2312" w:eastAsia="仿宋_GB2312" w:cs="仿宋_GB2312"/>
          <w:sz w:val="32"/>
          <w:szCs w:val="32"/>
          <w:highlight w:val="none"/>
        </w:rPr>
        <w:t>。</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年我</w:t>
      </w:r>
      <w:r>
        <w:rPr>
          <w:rFonts w:hint="eastAsia" w:ascii="仿宋_GB2312" w:hAnsi="仿宋_GB2312" w:eastAsia="仿宋_GB2312" w:cs="仿宋_GB2312"/>
          <w:sz w:val="32"/>
          <w:szCs w:val="32"/>
          <w:highlight w:val="none"/>
          <w:lang w:eastAsia="zh-CN"/>
        </w:rPr>
        <w:t>中心</w:t>
      </w:r>
      <w:r>
        <w:rPr>
          <w:rFonts w:hint="eastAsia" w:ascii="仿宋_GB2312" w:hAnsi="仿宋_GB2312" w:eastAsia="仿宋_GB2312" w:cs="仿宋_GB2312"/>
          <w:sz w:val="32"/>
          <w:szCs w:val="32"/>
          <w:highlight w:val="none"/>
        </w:rPr>
        <w:t>自</w:t>
      </w:r>
      <w:r>
        <w:rPr>
          <w:rFonts w:hint="eastAsia" w:ascii="仿宋_GB2312" w:hAnsi="仿宋_GB2312" w:eastAsia="仿宋_GB2312" w:cs="仿宋_GB2312"/>
          <w:sz w:val="32"/>
          <w:szCs w:val="32"/>
          <w:highlight w:val="none"/>
          <w:lang w:eastAsia="zh-CN"/>
        </w:rPr>
        <w:t>资金下达</w:t>
      </w:r>
      <w:r>
        <w:rPr>
          <w:rFonts w:hint="eastAsia" w:ascii="仿宋_GB2312" w:hAnsi="仿宋_GB2312" w:eastAsia="仿宋_GB2312" w:cs="仿宋_GB2312"/>
          <w:sz w:val="32"/>
          <w:szCs w:val="32"/>
          <w:highlight w:val="none"/>
        </w:rPr>
        <w:t>即开始组织开展工作，从项目前期准备工作到项目实施，均按相关管理规定及有关制度稳步开展，从项目决策、项目管理、实施效果及群众满意度等方面；资金使用效果较为良好，项目的实施</w:t>
      </w:r>
      <w:r>
        <w:rPr>
          <w:rFonts w:hint="eastAsia" w:ascii="仿宋_GB2312" w:hAnsi="仿宋_GB2312" w:eastAsia="仿宋_GB2312" w:cs="仿宋_GB2312"/>
          <w:sz w:val="32"/>
          <w:szCs w:val="32"/>
          <w:highlight w:val="none"/>
          <w:lang w:val="en-US" w:eastAsia="zh-CN"/>
        </w:rPr>
        <w:t>解决了群众的供水需求及提高了群众</w:t>
      </w:r>
      <w:r>
        <w:rPr>
          <w:rFonts w:hint="eastAsia" w:ascii="仿宋_GB2312" w:hAnsi="仿宋_GB2312" w:eastAsia="仿宋_GB2312" w:cs="仿宋_GB2312"/>
          <w:sz w:val="32"/>
          <w:szCs w:val="32"/>
          <w:highlight w:val="none"/>
        </w:rPr>
        <w:t>的满意度。</w:t>
      </w:r>
    </w:p>
    <w:p>
      <w:pPr>
        <w:keepNext w:val="0"/>
        <w:keepLines w:val="0"/>
        <w:pageBreakBefore w:val="0"/>
        <w:widowControl w:val="0"/>
        <w:kinsoku/>
        <w:wordWrap/>
        <w:overflowPunct/>
        <w:topLinePunct w:val="0"/>
        <w:autoSpaceDE/>
        <w:bidi w:val="0"/>
        <w:adjustRightInd/>
        <w:snapToGrid/>
        <w:spacing w:line="600" w:lineRule="exact"/>
        <w:ind w:left="0" w:leftChars="0" w:right="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bidi w:val="0"/>
        <w:spacing w:line="600" w:lineRule="exact"/>
        <w:ind w:left="0"/>
        <w:rPr>
          <w:rFonts w:hint="eastAsia" w:ascii="仿宋_GB2312" w:hAnsi="仿宋_GB2312" w:eastAsia="仿宋_GB2312" w:cs="仿宋_GB2312"/>
        </w:rPr>
      </w:pPr>
      <w:bookmarkStart w:id="0" w:name="_GoBack"/>
      <w:bookmarkEnd w:id="0"/>
    </w:p>
    <w:p>
      <w:pPr>
        <w:keepNext w:val="0"/>
        <w:keepLines w:val="0"/>
        <w:pageBreakBefore w:val="0"/>
        <w:kinsoku/>
        <w:wordWrap/>
        <w:overflowPunct/>
        <w:topLinePunct w:val="0"/>
        <w:autoSpaceDE/>
        <w:bidi w:val="0"/>
        <w:spacing w:line="600" w:lineRule="exact"/>
        <w:rPr>
          <w:rFonts w:hint="eastAsia"/>
          <w:b/>
          <w:bCs/>
        </w:rPr>
      </w:pPr>
    </w:p>
    <w:sectPr>
      <w:headerReference r:id="rId3" w:type="default"/>
      <w:footerReference r:id="rId5" w:type="default"/>
      <w:headerReference r:id="rId4" w:type="even"/>
      <w:footerReference r:id="rId6" w:type="even"/>
      <w:pgSz w:w="11906" w:h="16838"/>
      <w:pgMar w:top="1701" w:right="1587" w:bottom="1474" w:left="1587" w:header="851" w:footer="964"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ms Rmn">
    <w:altName w:val="Segoe Print"/>
    <w:panose1 w:val="02020603040505020304"/>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1 -</w:t>
    </w:r>
    <w:r>
      <w:rPr>
        <w:rFonts w:hint="eastAsia" w:ascii="仿宋_GB2312" w:eastAsia="仿宋_GB2312"/>
        <w:sz w:val="28"/>
        <w:szCs w:val="2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20 -</w:t>
    </w:r>
    <w:r>
      <w:rPr>
        <w:rFonts w:hint="eastAsia" w:ascii="仿宋_GB2312" w:eastAsia="仿宋_GB2312"/>
        <w:sz w:val="28"/>
        <w:szCs w:val="28"/>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17646105">
    <w:nsid w:val="66613319"/>
    <w:multiLevelType w:val="singleLevel"/>
    <w:tmpl w:val="66613319"/>
    <w:lvl w:ilvl="0" w:tentative="1">
      <w:start w:val="5"/>
      <w:numFmt w:val="chineseCounting"/>
      <w:suff w:val="nothing"/>
      <w:lvlText w:val="%1、"/>
      <w:lvlJc w:val="left"/>
    </w:lvl>
  </w:abstractNum>
  <w:abstractNum w:abstractNumId="939060471">
    <w:nsid w:val="37F8ECF7"/>
    <w:multiLevelType w:val="singleLevel"/>
    <w:tmpl w:val="37F8ECF7"/>
    <w:lvl w:ilvl="0" w:tentative="1">
      <w:start w:val="2"/>
      <w:numFmt w:val="chineseCounting"/>
      <w:suff w:val="nothing"/>
      <w:lvlText w:val="（%1）"/>
      <w:lvlJc w:val="left"/>
      <w:rPr>
        <w:rFonts w:hint="eastAsia"/>
      </w:rPr>
    </w:lvl>
  </w:abstractNum>
  <w:num w:numId="1">
    <w:abstractNumId w:val="939060471"/>
  </w:num>
  <w:num w:numId="2">
    <w:abstractNumId w:val="1717646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223D9"/>
    <w:rsid w:val="000223D9"/>
    <w:rsid w:val="000573FC"/>
    <w:rsid w:val="001715A0"/>
    <w:rsid w:val="001B043F"/>
    <w:rsid w:val="00226ECF"/>
    <w:rsid w:val="00372EF4"/>
    <w:rsid w:val="00380101"/>
    <w:rsid w:val="003874E4"/>
    <w:rsid w:val="004279E3"/>
    <w:rsid w:val="00434457"/>
    <w:rsid w:val="004B4462"/>
    <w:rsid w:val="0055204B"/>
    <w:rsid w:val="0058477E"/>
    <w:rsid w:val="005B2198"/>
    <w:rsid w:val="00695C99"/>
    <w:rsid w:val="00741102"/>
    <w:rsid w:val="007A6A9E"/>
    <w:rsid w:val="007C2FB2"/>
    <w:rsid w:val="008234FD"/>
    <w:rsid w:val="00881362"/>
    <w:rsid w:val="0089349E"/>
    <w:rsid w:val="009B2DB0"/>
    <w:rsid w:val="00B82092"/>
    <w:rsid w:val="00BF2380"/>
    <w:rsid w:val="00C72BC0"/>
    <w:rsid w:val="00CA1E7B"/>
    <w:rsid w:val="00CA5BD2"/>
    <w:rsid w:val="00CC51E2"/>
    <w:rsid w:val="00DC329C"/>
    <w:rsid w:val="00E3440D"/>
    <w:rsid w:val="00E426D3"/>
    <w:rsid w:val="00F80B4A"/>
    <w:rsid w:val="00F87FF3"/>
    <w:rsid w:val="00FB2B22"/>
    <w:rsid w:val="02FF771D"/>
    <w:rsid w:val="040B1461"/>
    <w:rsid w:val="04206FB9"/>
    <w:rsid w:val="045A4358"/>
    <w:rsid w:val="050F4F8C"/>
    <w:rsid w:val="059D7F01"/>
    <w:rsid w:val="05BF3BCC"/>
    <w:rsid w:val="05E90AD9"/>
    <w:rsid w:val="066C452B"/>
    <w:rsid w:val="09B11499"/>
    <w:rsid w:val="09E60B9C"/>
    <w:rsid w:val="0A15337D"/>
    <w:rsid w:val="0D3D78B2"/>
    <w:rsid w:val="0D6B0699"/>
    <w:rsid w:val="0D981131"/>
    <w:rsid w:val="0DA90834"/>
    <w:rsid w:val="0EDA2004"/>
    <w:rsid w:val="0F6806F7"/>
    <w:rsid w:val="0F9C44BD"/>
    <w:rsid w:val="11AB42AA"/>
    <w:rsid w:val="11B56148"/>
    <w:rsid w:val="11F10FCC"/>
    <w:rsid w:val="127C5AE2"/>
    <w:rsid w:val="14EB232F"/>
    <w:rsid w:val="151A1F9F"/>
    <w:rsid w:val="157546A7"/>
    <w:rsid w:val="15E36B75"/>
    <w:rsid w:val="179915F7"/>
    <w:rsid w:val="18197015"/>
    <w:rsid w:val="1863501E"/>
    <w:rsid w:val="18EF4C19"/>
    <w:rsid w:val="1A4346B1"/>
    <w:rsid w:val="1AE7714C"/>
    <w:rsid w:val="1CD34CD9"/>
    <w:rsid w:val="1CEE72BC"/>
    <w:rsid w:val="1D013E78"/>
    <w:rsid w:val="1EFB78C1"/>
    <w:rsid w:val="1FB62487"/>
    <w:rsid w:val="20191584"/>
    <w:rsid w:val="21E406C0"/>
    <w:rsid w:val="221A6719"/>
    <w:rsid w:val="228D6792"/>
    <w:rsid w:val="239404D2"/>
    <w:rsid w:val="247B506A"/>
    <w:rsid w:val="247E1F2A"/>
    <w:rsid w:val="24C705DB"/>
    <w:rsid w:val="251A03A2"/>
    <w:rsid w:val="28E85E0E"/>
    <w:rsid w:val="2A104056"/>
    <w:rsid w:val="2D827D68"/>
    <w:rsid w:val="2DDA0EA0"/>
    <w:rsid w:val="2DE84BB7"/>
    <w:rsid w:val="2E485B2D"/>
    <w:rsid w:val="2FD735FA"/>
    <w:rsid w:val="30105C3D"/>
    <w:rsid w:val="30D70D0F"/>
    <w:rsid w:val="32787731"/>
    <w:rsid w:val="336049B2"/>
    <w:rsid w:val="3509204A"/>
    <w:rsid w:val="35CC68BA"/>
    <w:rsid w:val="36057FDF"/>
    <w:rsid w:val="37120614"/>
    <w:rsid w:val="37C0113C"/>
    <w:rsid w:val="37F37C8A"/>
    <w:rsid w:val="382B1402"/>
    <w:rsid w:val="382F1BF1"/>
    <w:rsid w:val="3A9D300D"/>
    <w:rsid w:val="3AF52211"/>
    <w:rsid w:val="3B6C1927"/>
    <w:rsid w:val="3BBE3A3F"/>
    <w:rsid w:val="3BDD7D78"/>
    <w:rsid w:val="3D401208"/>
    <w:rsid w:val="3E2A590C"/>
    <w:rsid w:val="3E8E51C8"/>
    <w:rsid w:val="3FCB2704"/>
    <w:rsid w:val="40F560FC"/>
    <w:rsid w:val="419670F0"/>
    <w:rsid w:val="42D11DF7"/>
    <w:rsid w:val="43F67328"/>
    <w:rsid w:val="446F650C"/>
    <w:rsid w:val="453723D4"/>
    <w:rsid w:val="4596336B"/>
    <w:rsid w:val="45E61A04"/>
    <w:rsid w:val="464B6965"/>
    <w:rsid w:val="466D38CE"/>
    <w:rsid w:val="46903EB8"/>
    <w:rsid w:val="469E6980"/>
    <w:rsid w:val="46B057EA"/>
    <w:rsid w:val="47703572"/>
    <w:rsid w:val="48CE5E64"/>
    <w:rsid w:val="49926EA4"/>
    <w:rsid w:val="4A740247"/>
    <w:rsid w:val="4AF440F5"/>
    <w:rsid w:val="4BAB78C0"/>
    <w:rsid w:val="4CA95DDF"/>
    <w:rsid w:val="4D193533"/>
    <w:rsid w:val="4D44275A"/>
    <w:rsid w:val="4DA30493"/>
    <w:rsid w:val="4DA76F82"/>
    <w:rsid w:val="4E49623E"/>
    <w:rsid w:val="4F722FCC"/>
    <w:rsid w:val="50540993"/>
    <w:rsid w:val="50FA7F29"/>
    <w:rsid w:val="518F1700"/>
    <w:rsid w:val="52C114F8"/>
    <w:rsid w:val="537E4FC1"/>
    <w:rsid w:val="54690427"/>
    <w:rsid w:val="556F6647"/>
    <w:rsid w:val="55C300AA"/>
    <w:rsid w:val="561E1D8C"/>
    <w:rsid w:val="576B46B2"/>
    <w:rsid w:val="57925A39"/>
    <w:rsid w:val="57CB5AE9"/>
    <w:rsid w:val="57D85EC7"/>
    <w:rsid w:val="597B7394"/>
    <w:rsid w:val="59D404ED"/>
    <w:rsid w:val="5AC46FE8"/>
    <w:rsid w:val="5AE1546F"/>
    <w:rsid w:val="5B533DA5"/>
    <w:rsid w:val="5B92474D"/>
    <w:rsid w:val="5C5D3E30"/>
    <w:rsid w:val="5CE94325"/>
    <w:rsid w:val="5D950FF9"/>
    <w:rsid w:val="5DA43B4C"/>
    <w:rsid w:val="5DB57F66"/>
    <w:rsid w:val="5DCC6F07"/>
    <w:rsid w:val="5E387BAC"/>
    <w:rsid w:val="5F675798"/>
    <w:rsid w:val="602A63AA"/>
    <w:rsid w:val="60D36972"/>
    <w:rsid w:val="61AD1B06"/>
    <w:rsid w:val="61B06644"/>
    <w:rsid w:val="61EA6E24"/>
    <w:rsid w:val="625B56A6"/>
    <w:rsid w:val="62EA0803"/>
    <w:rsid w:val="63E9733B"/>
    <w:rsid w:val="64BC0ABF"/>
    <w:rsid w:val="668F5270"/>
    <w:rsid w:val="6858546E"/>
    <w:rsid w:val="690158BE"/>
    <w:rsid w:val="69066128"/>
    <w:rsid w:val="696716D4"/>
    <w:rsid w:val="6A204653"/>
    <w:rsid w:val="6A9871B8"/>
    <w:rsid w:val="6E6977C1"/>
    <w:rsid w:val="6EA939F3"/>
    <w:rsid w:val="6F555881"/>
    <w:rsid w:val="70191090"/>
    <w:rsid w:val="7078202E"/>
    <w:rsid w:val="710A0BC0"/>
    <w:rsid w:val="7182008B"/>
    <w:rsid w:val="724B5893"/>
    <w:rsid w:val="74A3089A"/>
    <w:rsid w:val="75B21AC8"/>
    <w:rsid w:val="75D76F34"/>
    <w:rsid w:val="778A780E"/>
    <w:rsid w:val="779054B5"/>
    <w:rsid w:val="77AA059F"/>
    <w:rsid w:val="77B72A62"/>
    <w:rsid w:val="77DB6067"/>
    <w:rsid w:val="78E83DAB"/>
    <w:rsid w:val="792D7153"/>
    <w:rsid w:val="79695057"/>
    <w:rsid w:val="798461C6"/>
    <w:rsid w:val="7A1779F7"/>
    <w:rsid w:val="7ADF5750"/>
    <w:rsid w:val="7B63141F"/>
    <w:rsid w:val="7DDD56A5"/>
    <w:rsid w:val="7F097CB3"/>
    <w:rsid w:val="7F4F0D3B"/>
    <w:rsid w:val="7FC7240B"/>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link w:val="17"/>
    <w:qFormat/>
    <w:uiPriority w:val="0"/>
    <w:pPr>
      <w:tabs>
        <w:tab w:val="left" w:pos="720"/>
      </w:tabs>
      <w:autoSpaceDE w:val="0"/>
      <w:autoSpaceDN w:val="0"/>
      <w:adjustRightInd w:val="0"/>
      <w:spacing w:before="120"/>
      <w:textAlignment w:val="baseline"/>
      <w:outlineLvl w:val="2"/>
    </w:pPr>
    <w:rPr>
      <w:rFonts w:ascii="宋体" w:hAnsi="Tms Rmn" w:eastAsia="宋体" w:cs="Times New Roman"/>
      <w:b/>
      <w:kern w:val="0"/>
      <w:sz w:val="24"/>
      <w:szCs w:val="20"/>
    </w:rPr>
  </w:style>
  <w:style w:type="character" w:default="1" w:styleId="10">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toa heading"/>
    <w:basedOn w:val="1"/>
    <w:next w:val="1"/>
    <w:qFormat/>
    <w:uiPriority w:val="0"/>
    <w:pPr>
      <w:spacing w:before="120"/>
    </w:pPr>
    <w:rPr>
      <w:rFonts w:ascii="Arial" w:hAnsi="Arial"/>
      <w:sz w:val="24"/>
    </w:rPr>
  </w:style>
  <w:style w:type="paragraph" w:styleId="5">
    <w:name w:val="Date"/>
    <w:basedOn w:val="1"/>
    <w:next w:val="1"/>
    <w:link w:val="16"/>
    <w:unhideWhenUsed/>
    <w:qFormat/>
    <w:uiPriority w:val="99"/>
    <w:pPr>
      <w:ind w:left="100" w:leftChars="2500"/>
    </w:pPr>
  </w:style>
  <w:style w:type="paragraph" w:styleId="6">
    <w:name w:val="footer"/>
    <w:basedOn w:val="1"/>
    <w:link w:val="18"/>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pPr>
      <w:widowControl w:val="0"/>
      <w:tabs>
        <w:tab w:val="right" w:leader="dot" w:pos="8302"/>
      </w:tabs>
      <w:spacing w:after="0" w:line="360" w:lineRule="exact"/>
      <w:ind w:firstLine="0" w:firstLineChars="0"/>
      <w:jc w:val="center"/>
    </w:pPr>
    <w:rPr>
      <w:rFonts w:ascii="宋体" w:hAnsi="宋体" w:eastAsia="宋体"/>
      <w:b/>
      <w:color w:val="000000"/>
      <w:kern w:val="2"/>
    </w:rPr>
  </w:style>
  <w:style w:type="paragraph" w:styleId="9">
    <w:name w:val="Normal (Web)"/>
    <w:basedOn w:val="1"/>
    <w:qFormat/>
    <w:uiPriority w:val="0"/>
    <w:pPr>
      <w:spacing w:before="100" w:beforeAutospacing="1" w:after="100" w:afterAutospacing="1"/>
      <w:jc w:val="left"/>
    </w:pPr>
    <w:rPr>
      <w:rFonts w:ascii="Calibri" w:hAnsi="Calibri" w:eastAsia="宋体" w:cs="Times New Roman"/>
      <w:kern w:val="0"/>
      <w:sz w:val="24"/>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海南化工城正文"/>
    <w:basedOn w:val="14"/>
    <w:qFormat/>
    <w:uiPriority w:val="0"/>
    <w:pPr>
      <w:ind w:firstLine="480"/>
    </w:pPr>
    <w:rPr>
      <w:sz w:val="24"/>
    </w:rPr>
  </w:style>
  <w:style w:type="paragraph" w:customStyle="1" w:styleId="14">
    <w:name w:val="样式 电镀正文 + 首行缩进:  2 字符"/>
    <w:basedOn w:val="15"/>
    <w:qFormat/>
    <w:uiPriority w:val="0"/>
    <w:pPr>
      <w:spacing w:line="324" w:lineRule="auto"/>
    </w:pPr>
    <w:rPr>
      <w:rFonts w:cs="宋体"/>
      <w:szCs w:val="20"/>
    </w:rPr>
  </w:style>
  <w:style w:type="paragraph" w:customStyle="1" w:styleId="15">
    <w:name w:val="电镀正文"/>
    <w:basedOn w:val="2"/>
    <w:qFormat/>
    <w:uiPriority w:val="0"/>
    <w:pPr>
      <w:spacing w:line="400" w:lineRule="exact"/>
      <w:ind w:firstLine="200"/>
    </w:pPr>
    <w:rPr>
      <w:rFonts w:ascii="宋体" w:hAnsi="宋体"/>
    </w:rPr>
  </w:style>
  <w:style w:type="character" w:customStyle="1" w:styleId="16">
    <w:name w:val="日期 Char"/>
    <w:basedOn w:val="10"/>
    <w:link w:val="5"/>
    <w:semiHidden/>
    <w:qFormat/>
    <w:uiPriority w:val="99"/>
  </w:style>
  <w:style w:type="character" w:customStyle="1" w:styleId="17">
    <w:name w:val="标题 3 Char"/>
    <w:basedOn w:val="10"/>
    <w:link w:val="3"/>
    <w:qFormat/>
    <w:uiPriority w:val="0"/>
    <w:rPr>
      <w:rFonts w:ascii="宋体" w:hAnsi="Tms Rmn" w:eastAsia="宋体" w:cs="Times New Roman"/>
      <w:b/>
      <w:sz w:val="24"/>
    </w:rPr>
  </w:style>
  <w:style w:type="character" w:customStyle="1" w:styleId="18">
    <w:name w:val="页脚 Char"/>
    <w:basedOn w:val="10"/>
    <w:link w:val="6"/>
    <w:qFormat/>
    <w:uiPriority w:val="99"/>
    <w:rPr>
      <w:kern w:val="2"/>
      <w:sz w:val="18"/>
      <w:szCs w:val="22"/>
    </w:rPr>
  </w:style>
  <w:style w:type="character" w:customStyle="1" w:styleId="19">
    <w:name w:val="font11"/>
    <w:basedOn w:val="10"/>
    <w:qFormat/>
    <w:uiPriority w:val="0"/>
    <w:rPr>
      <w:rFonts w:hint="default" w:ascii="仿宋_GB2312" w:eastAsia="仿宋_GB2312" w:cs="仿宋_GB2312"/>
      <w:color w:val="000000"/>
      <w:sz w:val="20"/>
      <w:szCs w:val="20"/>
      <w:u w:val="none"/>
    </w:rPr>
  </w:style>
  <w:style w:type="character" w:customStyle="1" w:styleId="20">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21</Pages>
  <Words>2037</Words>
  <Characters>11612</Characters>
  <Lines>96</Lines>
  <Paragraphs>27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2021-04-13T02:59:00Z</dcterms:created>
  <dc:creator>Administrator</dc:creator>
  <cp:lastModifiedBy>Administrator</cp:lastModifiedBy>
  <cp:lastPrinted>2021-05-14T00:33:00Z</cp:lastPrinted>
  <dcterms:modified xsi:type="dcterms:W3CDTF">2025-06-24T00:58:45Z</dcterms:modified>
  <dc:title>保亭黎族苗族自治县财政局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F8A55DCE2C3D43CD9941A246C11F2139</vt:lpwstr>
  </property>
</Properties>
</file>