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bidi w:val="0"/>
        <w:adjustRightInd/>
        <w:snapToGrid/>
        <w:spacing w:line="600" w:lineRule="exact"/>
        <w:ind w:right="0"/>
        <w:jc w:val="center"/>
        <w:textAlignment w:val="auto"/>
        <w:rPr>
          <w:rFonts w:hint="eastAsia" w:ascii="仿宋_GB2312" w:hAnsi="仿宋_GB2312" w:eastAsia="仿宋_GB2312" w:cs="仿宋_GB2312"/>
          <w:b/>
          <w:sz w:val="44"/>
          <w:szCs w:val="44"/>
        </w:rPr>
      </w:pPr>
      <w:r>
        <w:rPr>
          <w:rFonts w:hint="eastAsia" w:ascii="仿宋_GB2312" w:hAnsi="仿宋_GB2312" w:eastAsia="仿宋_GB2312" w:cs="仿宋_GB2312"/>
          <w:b/>
          <w:sz w:val="44"/>
          <w:szCs w:val="44"/>
          <w:lang w:eastAsia="zh-CN"/>
        </w:rPr>
        <w:t>保亭县</w:t>
      </w:r>
      <w:r>
        <w:rPr>
          <w:rFonts w:hint="eastAsia" w:ascii="仿宋_GB2312" w:hAnsi="仿宋_GB2312" w:eastAsia="仿宋_GB2312" w:cs="仿宋_GB2312"/>
          <w:b/>
          <w:sz w:val="44"/>
          <w:szCs w:val="44"/>
          <w:lang w:val="en-US" w:eastAsia="zh-CN"/>
        </w:rPr>
        <w:t>新政水厂管网延伸</w:t>
      </w:r>
      <w:r>
        <w:rPr>
          <w:rFonts w:hint="eastAsia" w:ascii="仿宋_GB2312" w:hAnsi="仿宋_GB2312" w:eastAsia="仿宋_GB2312" w:cs="仿宋_GB2312"/>
          <w:b/>
          <w:sz w:val="44"/>
          <w:szCs w:val="44"/>
          <w:lang w:eastAsia="zh-CN"/>
        </w:rPr>
        <w:t>工程（</w:t>
      </w:r>
      <w:r>
        <w:rPr>
          <w:rFonts w:hint="eastAsia" w:ascii="仿宋_GB2312" w:hAnsi="仿宋_GB2312" w:eastAsia="仿宋_GB2312" w:cs="仿宋_GB2312"/>
          <w:b/>
          <w:sz w:val="44"/>
          <w:szCs w:val="44"/>
          <w:lang w:val="en-US" w:eastAsia="zh-CN"/>
        </w:rPr>
        <w:t>新政水厂至保城镇</w:t>
      </w:r>
      <w:r>
        <w:rPr>
          <w:rFonts w:hint="eastAsia" w:ascii="仿宋_GB2312" w:hAnsi="仿宋_GB2312" w:eastAsia="仿宋_GB2312" w:cs="仿宋_GB2312"/>
          <w:b/>
          <w:sz w:val="44"/>
          <w:szCs w:val="44"/>
          <w:lang w:eastAsia="zh-CN"/>
        </w:rPr>
        <w:t>）</w:t>
      </w:r>
      <w:r>
        <w:rPr>
          <w:rFonts w:hint="eastAsia" w:ascii="仿宋_GB2312" w:hAnsi="仿宋_GB2312" w:eastAsia="仿宋_GB2312" w:cs="仿宋_GB2312"/>
          <w:b/>
          <w:sz w:val="44"/>
          <w:szCs w:val="44"/>
        </w:rPr>
        <w:t>绩效评价报告</w:t>
      </w:r>
    </w:p>
    <w:p>
      <w:pPr>
        <w:keepNext w:val="0"/>
        <w:keepLines w:val="0"/>
        <w:pageBreakBefore w:val="0"/>
        <w:widowControl w:val="0"/>
        <w:kinsoku/>
        <w:wordWrap/>
        <w:overflowPunct/>
        <w:topLinePunct w:val="0"/>
        <w:autoSpaceDE/>
        <w:bidi w:val="0"/>
        <w:adjustRightInd/>
        <w:snapToGrid/>
        <w:spacing w:line="600" w:lineRule="exact"/>
        <w:ind w:left="0" w:leftChars="0" w:right="0" w:firstLine="800" w:firstLineChars="249"/>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一、项目概况</w:t>
      </w:r>
    </w:p>
    <w:p>
      <w:pPr>
        <w:keepNext w:val="0"/>
        <w:keepLines w:val="0"/>
        <w:pageBreakBefore w:val="0"/>
        <w:widowControl w:val="0"/>
        <w:kinsoku/>
        <w:wordWrap/>
        <w:overflowPunct/>
        <w:topLinePunct w:val="0"/>
        <w:autoSpaceDE/>
        <w:bidi w:val="0"/>
        <w:adjustRightInd/>
        <w:snapToGrid/>
        <w:spacing w:line="600" w:lineRule="exact"/>
        <w:ind w:left="0" w:leftChars="0" w:right="0" w:firstLine="645"/>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（一）项目单位基本情况</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保亭县水务服务中心的基本职责是落实有关水务、水利工作方面的方针政策、法律法规，管理全县水资源，落实水土保持工作，水利工程移民建设，水务设施管护，对全县蓄水、供排水、病险水库加固等水务设施的建设和管护，并承担水务项目法人职责，做好项目建设跟踪服务工作，协调解决项目建设存在的问题。</w:t>
      </w:r>
    </w:p>
    <w:p>
      <w:pPr>
        <w:keepNext w:val="0"/>
        <w:keepLines w:val="0"/>
        <w:pageBreakBefore w:val="0"/>
        <w:widowControl w:val="0"/>
        <w:numPr>
          <w:ilvl w:val="0"/>
          <w:numId w:val="1"/>
        </w:numPr>
        <w:kinsoku/>
        <w:wordWrap/>
        <w:overflowPunct/>
        <w:topLinePunct w:val="0"/>
        <w:autoSpaceDE/>
        <w:bidi w:val="0"/>
        <w:adjustRightInd/>
        <w:snapToGrid/>
        <w:spacing w:line="600" w:lineRule="exact"/>
        <w:ind w:left="0" w:leftChars="0" w:right="0" w:firstLine="645"/>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项目基本性质，用途和主要内容、涉及范围</w:t>
      </w:r>
    </w:p>
    <w:p>
      <w:pPr>
        <w:keepNext w:val="0"/>
        <w:keepLines w:val="0"/>
        <w:pageBreakBefore w:val="0"/>
        <w:widowControl w:val="0"/>
        <w:kinsoku/>
        <w:wordWrap/>
        <w:overflowPunct/>
        <w:topLinePunct w:val="0"/>
        <w:autoSpaceDE/>
        <w:bidi w:val="0"/>
        <w:adjustRightInd/>
        <w:snapToGrid/>
        <w:spacing w:line="600" w:lineRule="exact"/>
        <w:ind w:left="0" w:leftChars="0" w:right="0"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为</w:t>
      </w:r>
      <w:r>
        <w:rPr>
          <w:rFonts w:hint="eastAsia" w:ascii="仿宋_GB2312" w:hAnsi="仿宋_GB2312" w:eastAsia="仿宋_GB2312" w:cs="仿宋_GB2312"/>
          <w:sz w:val="32"/>
          <w:szCs w:val="32"/>
          <w:lang w:val="en-US" w:eastAsia="zh-CN"/>
        </w:rPr>
        <w:t>确保城乡供水安全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实现城乡供水一体化，</w:t>
      </w:r>
      <w:r>
        <w:rPr>
          <w:rFonts w:hint="eastAsia" w:ascii="仿宋_GB2312" w:hAnsi="仿宋_GB2312" w:eastAsia="仿宋_GB2312" w:cs="仿宋_GB2312"/>
          <w:sz w:val="32"/>
          <w:szCs w:val="32"/>
          <w:lang w:eastAsia="zh-CN"/>
        </w:rPr>
        <w:t>项目</w:t>
      </w:r>
      <w:r>
        <w:rPr>
          <w:rFonts w:hint="eastAsia" w:ascii="仿宋_GB2312" w:hAnsi="仿宋_GB2312" w:eastAsia="仿宋_GB2312" w:cs="仿宋_GB2312"/>
          <w:sz w:val="32"/>
          <w:szCs w:val="32"/>
          <w:lang w:val="en-US" w:eastAsia="zh-CN"/>
        </w:rPr>
        <w:t>敷设配水管道14270米。其中包括新建DN800球墨铸铁管（K9）13700m，DN800焊接钢管410m,d1350钢筋混凝土管（</w:t>
      </w:r>
      <w:r>
        <w:rPr>
          <w:rFonts w:hint="eastAsia" w:ascii="仿宋" w:hAnsi="仿宋" w:eastAsia="仿宋" w:cs="仿宋"/>
          <w:sz w:val="32"/>
          <w:szCs w:val="32"/>
          <w:lang w:val="en-US" w:eastAsia="zh-CN"/>
        </w:rPr>
        <w:t>Ⅲ</w:t>
      </w:r>
      <w:r>
        <w:rPr>
          <w:rFonts w:hint="eastAsia" w:ascii="仿宋_GB2312" w:hAnsi="仿宋_GB2312" w:eastAsia="仿宋_GB2312" w:cs="仿宋_GB2312"/>
          <w:sz w:val="32"/>
          <w:szCs w:val="32"/>
          <w:lang w:val="en-US" w:eastAsia="zh-CN"/>
        </w:rPr>
        <w:t>级）及输水管道160m。配套建设顶管工作井和接收井各2座，阀门组38组，排气阀30组，排泥阀组30组，流量计组5组。破除恢复草皮绿化1710m²，修建施工便道14110m，修建施工围堰940m。建设内容为管道安装及其附属构筑物。</w:t>
      </w:r>
    </w:p>
    <w:p>
      <w:pPr>
        <w:keepNext w:val="0"/>
        <w:keepLines w:val="0"/>
        <w:pageBreakBefore w:val="0"/>
        <w:widowControl w:val="0"/>
        <w:kinsoku/>
        <w:wordWrap/>
        <w:overflowPunct/>
        <w:topLinePunct w:val="0"/>
        <w:autoSpaceDE/>
        <w:bidi w:val="0"/>
        <w:adjustRightInd/>
        <w:snapToGrid/>
        <w:spacing w:line="600" w:lineRule="exact"/>
        <w:ind w:left="0" w:leftChars="0" w:right="0" w:firstLine="643" w:firstLineChars="20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二、项目资金使用及管理情况</w:t>
      </w:r>
    </w:p>
    <w:p>
      <w:pPr>
        <w:keepNext w:val="0"/>
        <w:keepLines w:val="0"/>
        <w:pageBreakBefore w:val="0"/>
        <w:widowControl w:val="0"/>
        <w:kinsoku/>
        <w:wordWrap/>
        <w:overflowPunct/>
        <w:topLinePunct w:val="0"/>
        <w:autoSpaceDE/>
        <w:bidi w:val="0"/>
        <w:adjustRightInd/>
        <w:snapToGrid/>
        <w:spacing w:line="600" w:lineRule="exact"/>
        <w:ind w:left="0" w:leftChars="0"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（一）项目资金到位情况分析。</w:t>
      </w:r>
    </w:p>
    <w:p>
      <w:pPr>
        <w:keepNext w:val="0"/>
        <w:keepLines w:val="0"/>
        <w:pageBreakBefore w:val="0"/>
        <w:widowControl w:val="0"/>
        <w:kinsoku/>
        <w:wordWrap/>
        <w:overflowPunct/>
        <w:topLinePunct w:val="0"/>
        <w:autoSpaceDE/>
        <w:bidi w:val="0"/>
        <w:adjustRightInd/>
        <w:snapToGrid/>
        <w:spacing w:line="600" w:lineRule="exact"/>
        <w:ind w:left="0" w:leftChars="0"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保亭县财政局《关于下达2024年省级转贷我县新增地债资金（第一批）的通知》</w:t>
      </w:r>
      <w:r>
        <w:rPr>
          <w:rFonts w:hint="eastAsia" w:ascii="仿宋_GB2312" w:hAnsi="仿宋_GB2312" w:eastAsia="仿宋_GB2312" w:cs="仿宋_GB2312"/>
          <w:sz w:val="32"/>
          <w:szCs w:val="32"/>
          <w:lang w:eastAsia="zh-CN"/>
        </w:rPr>
        <w:t>（保</w:t>
      </w:r>
      <w:r>
        <w:rPr>
          <w:rFonts w:hint="eastAsia" w:ascii="仿宋_GB2312" w:hAnsi="仿宋_GB2312" w:eastAsia="仿宋_GB2312" w:cs="仿宋_GB2312"/>
          <w:sz w:val="32"/>
          <w:szCs w:val="32"/>
          <w:lang w:val="en-US" w:eastAsia="zh-CN"/>
        </w:rPr>
        <w:t>财预</w:t>
      </w:r>
      <w:r>
        <w:rPr>
          <w:rFonts w:hint="eastAsia" w:ascii="仿宋_GB2312" w:hAnsi="仿宋_GB2312" w:eastAsia="仿宋_GB2312" w:cs="仿宋_GB2312"/>
          <w:sz w:val="32"/>
          <w:szCs w:val="32"/>
          <w:lang w:eastAsia="zh-CN"/>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eastAsia="zh-CN"/>
        </w:rPr>
        <w:t>号），</w:t>
      </w:r>
      <w:r>
        <w:rPr>
          <w:rFonts w:hint="eastAsia" w:ascii="仿宋_GB2312" w:hAnsi="仿宋_GB2312" w:eastAsia="仿宋_GB2312" w:cs="仿宋_GB2312"/>
          <w:sz w:val="32"/>
          <w:szCs w:val="32"/>
          <w:lang w:val="en-US" w:eastAsia="zh-CN"/>
        </w:rPr>
        <w:t>下达</w:t>
      </w:r>
      <w:r>
        <w:rPr>
          <w:rFonts w:hint="eastAsia" w:ascii="仿宋_GB2312" w:hAnsi="仿宋_GB2312" w:eastAsia="仿宋_GB2312" w:cs="仿宋_GB2312"/>
          <w:sz w:val="32"/>
          <w:szCs w:val="32"/>
          <w:lang w:eastAsia="zh-CN"/>
        </w:rPr>
        <w:t>保亭县新政水厂管网延伸工程（新政水厂至保城镇）专项债资金</w:t>
      </w:r>
      <w:r>
        <w:rPr>
          <w:rFonts w:hint="eastAsia" w:ascii="仿宋_GB2312" w:hAnsi="仿宋_GB2312" w:eastAsia="仿宋_GB2312" w:cs="仿宋_GB2312"/>
          <w:sz w:val="32"/>
          <w:szCs w:val="32"/>
          <w:lang w:val="en-US" w:eastAsia="zh-CN"/>
        </w:rPr>
        <w:t>1000万元；保亭县财政局《关于下达2024年省级转贷我县新增地债资金（第三批）的通知》</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保财预</w:t>
      </w:r>
      <w:r>
        <w:rPr>
          <w:rFonts w:hint="eastAsia" w:ascii="仿宋_GB2312" w:hAnsi="仿宋_GB2312" w:eastAsia="仿宋_GB2312" w:cs="仿宋_GB2312"/>
          <w:sz w:val="32"/>
          <w:szCs w:val="32"/>
          <w:lang w:eastAsia="zh-CN"/>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lang w:eastAsia="zh-CN"/>
        </w:rPr>
        <w:t>号），</w:t>
      </w:r>
      <w:r>
        <w:rPr>
          <w:rFonts w:hint="eastAsia" w:ascii="仿宋_GB2312" w:hAnsi="仿宋_GB2312" w:eastAsia="仿宋_GB2312" w:cs="仿宋_GB2312"/>
          <w:sz w:val="32"/>
          <w:szCs w:val="32"/>
          <w:lang w:val="en-US" w:eastAsia="zh-CN"/>
        </w:rPr>
        <w:t>下达保</w:t>
      </w:r>
      <w:r>
        <w:rPr>
          <w:rFonts w:hint="eastAsia" w:ascii="仿宋_GB2312" w:hAnsi="仿宋_GB2312" w:eastAsia="仿宋_GB2312" w:cs="仿宋_GB2312"/>
          <w:sz w:val="32"/>
          <w:szCs w:val="32"/>
          <w:lang w:eastAsia="zh-CN"/>
        </w:rPr>
        <w:t>亭县新政水厂管网延伸工程（新政水厂至保城镇）专项债资金</w:t>
      </w:r>
      <w:r>
        <w:rPr>
          <w:rFonts w:hint="eastAsia" w:ascii="仿宋_GB2312" w:hAnsi="仿宋_GB2312" w:eastAsia="仿宋_GB2312" w:cs="仿宋_GB2312"/>
          <w:sz w:val="32"/>
          <w:szCs w:val="32"/>
          <w:lang w:val="en-US" w:eastAsia="zh-CN"/>
        </w:rPr>
        <w:t>1000万元。</w:t>
      </w:r>
    </w:p>
    <w:p>
      <w:pPr>
        <w:keepNext w:val="0"/>
        <w:keepLines w:val="0"/>
        <w:pageBreakBefore w:val="0"/>
        <w:widowControl w:val="0"/>
        <w:kinsoku/>
        <w:wordWrap/>
        <w:overflowPunct/>
        <w:topLinePunct w:val="0"/>
        <w:autoSpaceDE/>
        <w:bidi w:val="0"/>
        <w:adjustRightInd/>
        <w:snapToGrid/>
        <w:spacing w:line="600" w:lineRule="exact"/>
        <w:ind w:left="0" w:leftChars="0" w:right="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（二）项目资金使用情况分析。</w:t>
      </w:r>
    </w:p>
    <w:p>
      <w:pPr>
        <w:keepNext w:val="0"/>
        <w:keepLines w:val="0"/>
        <w:pageBreakBefore w:val="0"/>
        <w:widowControl w:val="0"/>
        <w:kinsoku/>
        <w:wordWrap/>
        <w:overflowPunct/>
        <w:topLinePunct w:val="0"/>
        <w:autoSpaceDE/>
        <w:bidi w:val="0"/>
        <w:adjustRightInd/>
        <w:snapToGrid/>
        <w:spacing w:line="600" w:lineRule="exact"/>
        <w:ind w:left="0" w:leftChars="0" w:right="0"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截止到20</w:t>
      </w:r>
      <w:r>
        <w:rPr>
          <w:rFonts w:hint="eastAsia" w:ascii="仿宋_GB2312" w:hAnsi="仿宋_GB2312" w:eastAsia="仿宋_GB2312" w:cs="仿宋_GB2312"/>
          <w:sz w:val="32"/>
          <w:szCs w:val="32"/>
          <w:lang w:val="en-US" w:eastAsia="zh-CN"/>
        </w:rPr>
        <w:t>24</w:t>
      </w:r>
      <w:r>
        <w:rPr>
          <w:rFonts w:hint="eastAsia" w:ascii="仿宋_GB2312" w:hAnsi="仿宋_GB2312" w:eastAsia="仿宋_GB2312" w:cs="仿宋_GB2312"/>
          <w:sz w:val="32"/>
          <w:szCs w:val="32"/>
        </w:rPr>
        <w:t>年12月31日，</w:t>
      </w:r>
      <w:r>
        <w:rPr>
          <w:rFonts w:hint="eastAsia" w:ascii="仿宋_GB2312" w:hAnsi="仿宋_GB2312" w:eastAsia="仿宋_GB2312" w:cs="仿宋_GB2312"/>
          <w:sz w:val="32"/>
          <w:szCs w:val="32"/>
          <w:lang w:eastAsia="zh-CN"/>
        </w:rPr>
        <w:t>保亭县新政水厂管网延伸工程（新政水厂至保城镇）到位资金</w:t>
      </w:r>
      <w:r>
        <w:rPr>
          <w:rFonts w:hint="eastAsia" w:ascii="仿宋_GB2312" w:hAnsi="仿宋_GB2312" w:eastAsia="仿宋_GB2312" w:cs="仿宋_GB2312"/>
          <w:sz w:val="32"/>
          <w:szCs w:val="32"/>
          <w:lang w:val="en-US" w:eastAsia="zh-CN"/>
        </w:rPr>
        <w:t>2000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实际执行数为</w:t>
      </w:r>
      <w:r>
        <w:rPr>
          <w:rFonts w:hint="eastAsia" w:ascii="仿宋_GB2312" w:hAnsi="仿宋_GB2312" w:eastAsia="仿宋_GB2312" w:cs="仿宋_GB2312"/>
          <w:sz w:val="32"/>
          <w:szCs w:val="32"/>
          <w:lang w:val="en-US" w:eastAsia="zh-CN"/>
        </w:rPr>
        <w:t>2000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color w:val="auto"/>
          <w:sz w:val="32"/>
          <w:szCs w:val="32"/>
          <w:highlight w:val="none"/>
          <w:lang w:val="en-US" w:eastAsia="zh-CN"/>
        </w:rPr>
        <w:t>预算执行率为100%。</w:t>
      </w:r>
    </w:p>
    <w:p>
      <w:pPr>
        <w:keepNext w:val="0"/>
        <w:keepLines w:val="0"/>
        <w:pageBreakBefore w:val="0"/>
        <w:widowControl w:val="0"/>
        <w:kinsoku/>
        <w:wordWrap/>
        <w:overflowPunct/>
        <w:topLinePunct w:val="0"/>
        <w:autoSpaceDE/>
        <w:bidi w:val="0"/>
        <w:adjustRightInd/>
        <w:snapToGrid/>
        <w:spacing w:line="600" w:lineRule="exact"/>
        <w:ind w:left="0" w:leftChars="0" w:right="0" w:firstLine="640" w:firstLineChars="200"/>
        <w:textAlignment w:val="auto"/>
        <w:outlineLvl w:val="0"/>
        <w:rPr>
          <w:rFonts w:hint="eastAsia" w:ascii="仿宋_GB2312" w:hAnsi="仿宋_GB2312" w:eastAsia="仿宋_GB2312" w:cs="仿宋_GB2312"/>
          <w:bCs/>
          <w:color w:val="000000"/>
          <w:sz w:val="32"/>
          <w:szCs w:val="32"/>
        </w:rPr>
      </w:pPr>
      <w:r>
        <w:rPr>
          <w:rFonts w:hint="eastAsia" w:ascii="仿宋_GB2312" w:hAnsi="仿宋_GB2312" w:eastAsia="仿宋_GB2312" w:cs="仿宋_GB2312"/>
          <w:sz w:val="32"/>
          <w:szCs w:val="32"/>
        </w:rPr>
        <w:t>（三）项目资金管理情况</w:t>
      </w:r>
      <w:r>
        <w:rPr>
          <w:rFonts w:hint="eastAsia" w:ascii="仿宋_GB2312" w:hAnsi="仿宋_GB2312" w:eastAsia="仿宋_GB2312" w:cs="仿宋_GB2312"/>
          <w:bCs/>
          <w:color w:val="000000"/>
          <w:sz w:val="32"/>
          <w:szCs w:val="32"/>
        </w:rPr>
        <w:t>分析。</w:t>
      </w:r>
    </w:p>
    <w:p>
      <w:pPr>
        <w:keepNext w:val="0"/>
        <w:keepLines w:val="0"/>
        <w:pageBreakBefore w:val="0"/>
        <w:kinsoku/>
        <w:wordWrap/>
        <w:overflowPunct/>
        <w:topLinePunct w:val="0"/>
        <w:autoSpaceDE/>
        <w:autoSpaceDN/>
        <w:bidi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lang w:eastAsia="zh-CN"/>
        </w:rPr>
        <w:t>我县</w:t>
      </w:r>
      <w:r>
        <w:rPr>
          <w:rFonts w:hint="eastAsia" w:ascii="仿宋_GB2312" w:hAnsi="仿宋_GB2312" w:eastAsia="仿宋_GB2312" w:cs="仿宋_GB2312"/>
          <w:color w:val="auto"/>
          <w:sz w:val="32"/>
          <w:szCs w:val="32"/>
        </w:rPr>
        <w:t>所有财政性资金均纳入国库单一账户体系管理，资金缴拨均以国库集中收付，会计核算均已实行委派会计制度，统一由会计核算中心对项目单位的收、支进行核算，对项目资金进行专项、专账核算，项目资金管理较为规范。</w:t>
      </w:r>
    </w:p>
    <w:p>
      <w:pPr>
        <w:keepNext w:val="0"/>
        <w:keepLines w:val="0"/>
        <w:pageBreakBefore w:val="0"/>
        <w:widowControl w:val="0"/>
        <w:kinsoku/>
        <w:wordWrap/>
        <w:overflowPunct/>
        <w:topLinePunct w:val="0"/>
        <w:autoSpaceDE/>
        <w:bidi w:val="0"/>
        <w:adjustRightInd/>
        <w:snapToGrid/>
        <w:spacing w:line="600" w:lineRule="exact"/>
        <w:ind w:left="0" w:leftChars="0" w:right="0" w:firstLine="800" w:firstLineChars="249"/>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三、项目组织实施情况</w:t>
      </w:r>
    </w:p>
    <w:p>
      <w:pPr>
        <w:keepNext w:val="0"/>
        <w:keepLines w:val="0"/>
        <w:pageBreakBefore w:val="0"/>
        <w:widowControl w:val="0"/>
        <w:kinsoku/>
        <w:wordWrap/>
        <w:overflowPunct/>
        <w:topLinePunct w:val="0"/>
        <w:autoSpaceDE/>
        <w:bidi w:val="0"/>
        <w:adjustRightInd/>
        <w:snapToGrid/>
        <w:spacing w:line="600" w:lineRule="exact"/>
        <w:ind w:left="0" w:leftChars="0" w:right="0" w:firstLine="796" w:firstLineChars="249"/>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（一）项目组织情况分析</w:t>
      </w:r>
    </w:p>
    <w:p>
      <w:pPr>
        <w:keepNext w:val="0"/>
        <w:keepLines w:val="0"/>
        <w:pageBreakBefore w:val="0"/>
        <w:widowControl w:val="0"/>
        <w:kinsoku/>
        <w:wordWrap/>
        <w:overflowPunct/>
        <w:topLinePunct w:val="0"/>
        <w:autoSpaceDE/>
        <w:bidi w:val="0"/>
        <w:adjustRightInd/>
        <w:snapToGrid/>
        <w:spacing w:line="600" w:lineRule="exact"/>
        <w:ind w:left="0" w:leftChars="0" w:right="0" w:firstLine="640" w:firstLineChars="200"/>
        <w:textAlignment w:val="auto"/>
        <w:outlineLvl w:val="0"/>
        <w:rPr>
          <w:rFonts w:hint="eastAsia" w:ascii="仿宋_GB2312" w:hAnsi="仿宋_GB2312" w:eastAsia="仿宋_GB2312" w:cs="仿宋_GB2312"/>
          <w:bCs/>
          <w:color w:val="000000"/>
          <w:sz w:val="32"/>
          <w:szCs w:val="32"/>
        </w:rPr>
      </w:pPr>
      <w:r>
        <w:rPr>
          <w:rFonts w:hint="eastAsia" w:ascii="仿宋_GB2312" w:hAnsi="仿宋_GB2312" w:eastAsia="仿宋_GB2312" w:cs="仿宋_GB2312"/>
          <w:sz w:val="32"/>
          <w:szCs w:val="32"/>
          <w:lang w:eastAsia="zh-CN"/>
        </w:rPr>
        <w:t>保亭县新政水厂管网延伸工程（新政水厂至保城镇），经县政府批准同意由县城投公司任项目法人负责组织实施。项目经公开招投标招聘施工单位，</w:t>
      </w:r>
      <w:r>
        <w:rPr>
          <w:rFonts w:hint="eastAsia" w:ascii="仿宋_GB2312" w:hAnsi="仿宋_GB2312" w:eastAsia="仿宋_GB2312" w:cs="仿宋_GB2312"/>
          <w:bCs/>
          <w:color w:val="000000"/>
          <w:sz w:val="32"/>
          <w:szCs w:val="32"/>
        </w:rPr>
        <w:t xml:space="preserve">严格按照制定的管理制度以及财务制度来执行和落实。 </w:t>
      </w:r>
    </w:p>
    <w:p>
      <w:pPr>
        <w:keepNext w:val="0"/>
        <w:keepLines w:val="0"/>
        <w:pageBreakBefore w:val="0"/>
        <w:widowControl w:val="0"/>
        <w:kinsoku/>
        <w:wordWrap/>
        <w:overflowPunct/>
        <w:topLinePunct w:val="0"/>
        <w:autoSpaceDE/>
        <w:bidi w:val="0"/>
        <w:adjustRightInd/>
        <w:snapToGrid/>
        <w:spacing w:line="600" w:lineRule="exact"/>
        <w:ind w:left="0" w:leftChars="0" w:right="0" w:firstLine="796" w:firstLineChars="249"/>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（二）项目管理情况分析</w:t>
      </w:r>
    </w:p>
    <w:p>
      <w:pPr>
        <w:keepNext w:val="0"/>
        <w:keepLines w:val="0"/>
        <w:pageBreakBefore w:val="0"/>
        <w:widowControl w:val="0"/>
        <w:kinsoku/>
        <w:wordWrap/>
        <w:overflowPunct/>
        <w:topLinePunct w:val="0"/>
        <w:autoSpaceDE/>
        <w:bidi w:val="0"/>
        <w:adjustRightInd/>
        <w:snapToGrid/>
        <w:spacing w:line="600" w:lineRule="exact"/>
        <w:ind w:left="0" w:leftChars="0"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为使项目的管理更加规范，支出更加高效，根据我中心的业务工作规划和财务管理制度，对整个项目进行统筹安排及组织实施，确保项目按计划顺利开展。</w:t>
      </w:r>
    </w:p>
    <w:p>
      <w:pPr>
        <w:keepNext w:val="0"/>
        <w:keepLines w:val="0"/>
        <w:pageBreakBefore w:val="0"/>
        <w:widowControl w:val="0"/>
        <w:kinsoku/>
        <w:wordWrap/>
        <w:overflowPunct/>
        <w:topLinePunct w:val="0"/>
        <w:autoSpaceDE/>
        <w:bidi w:val="0"/>
        <w:adjustRightInd/>
        <w:snapToGrid/>
        <w:spacing w:line="600" w:lineRule="exact"/>
        <w:ind w:left="0" w:leftChars="0" w:right="0" w:firstLine="643" w:firstLineChars="20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四、项目绩效情况</w:t>
      </w:r>
    </w:p>
    <w:p>
      <w:pPr>
        <w:keepNext w:val="0"/>
        <w:keepLines w:val="0"/>
        <w:pageBreakBefore w:val="0"/>
        <w:widowControl w:val="0"/>
        <w:kinsoku/>
        <w:wordWrap/>
        <w:overflowPunct/>
        <w:topLinePunct w:val="0"/>
        <w:autoSpaceDE/>
        <w:bidi w:val="0"/>
        <w:adjustRightInd/>
        <w:snapToGrid/>
        <w:spacing w:line="600" w:lineRule="exact"/>
        <w:ind w:left="0" w:leftChars="0" w:right="0" w:firstLine="643" w:firstLineChars="20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（一）</w:t>
      </w:r>
      <w:r>
        <w:rPr>
          <w:rFonts w:hint="eastAsia" w:ascii="仿宋_GB2312" w:hAnsi="仿宋_GB2312" w:eastAsia="仿宋_GB2312" w:cs="仿宋_GB2312"/>
          <w:sz w:val="32"/>
          <w:szCs w:val="32"/>
        </w:rPr>
        <w:t>项目绩效目标完成情况分析</w:t>
      </w:r>
    </w:p>
    <w:p>
      <w:pPr>
        <w:keepNext w:val="0"/>
        <w:keepLines w:val="0"/>
        <w:pageBreakBefore w:val="0"/>
        <w:widowControl w:val="0"/>
        <w:kinsoku/>
        <w:wordWrap/>
        <w:overflowPunct/>
        <w:topLinePunct w:val="0"/>
        <w:autoSpaceDE/>
        <w:bidi w:val="0"/>
        <w:adjustRightInd/>
        <w:snapToGrid/>
        <w:spacing w:line="600" w:lineRule="exact"/>
        <w:ind w:left="0" w:leftChars="0" w:right="0" w:firstLine="796" w:firstLineChars="249"/>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1、项目的经济性分析。</w:t>
      </w:r>
    </w:p>
    <w:p>
      <w:pPr>
        <w:keepNext w:val="0"/>
        <w:keepLines w:val="0"/>
        <w:pageBreakBefore w:val="0"/>
        <w:widowControl w:val="0"/>
        <w:kinsoku/>
        <w:wordWrap/>
        <w:overflowPunct/>
        <w:topLinePunct w:val="0"/>
        <w:autoSpaceDE/>
        <w:bidi w:val="0"/>
        <w:adjustRightInd/>
        <w:snapToGrid/>
        <w:spacing w:line="600" w:lineRule="exact"/>
        <w:ind w:left="0" w:leftChars="0" w:right="0" w:firstLine="796" w:firstLineChars="249"/>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（1）项目成本（预算）控制情况</w:t>
      </w:r>
    </w:p>
    <w:p>
      <w:pPr>
        <w:keepNext w:val="0"/>
        <w:keepLines w:val="0"/>
        <w:pageBreakBefore w:val="0"/>
        <w:widowControl w:val="0"/>
        <w:kinsoku/>
        <w:wordWrap/>
        <w:overflowPunct/>
        <w:topLinePunct w:val="0"/>
        <w:autoSpaceDE/>
        <w:bidi w:val="0"/>
        <w:adjustRightInd/>
        <w:snapToGrid/>
        <w:spacing w:line="600" w:lineRule="exact"/>
        <w:ind w:left="0" w:leftChars="0" w:right="0" w:firstLine="796" w:firstLineChars="249"/>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2024年本</w:t>
      </w:r>
      <w:bookmarkStart w:id="0" w:name="_GoBack"/>
      <w:bookmarkEnd w:id="0"/>
      <w:r>
        <w:rPr>
          <w:rFonts w:hint="eastAsia" w:ascii="仿宋_GB2312" w:hAnsi="仿宋_GB2312" w:eastAsia="仿宋_GB2312" w:cs="仿宋_GB2312"/>
          <w:sz w:val="32"/>
          <w:szCs w:val="32"/>
        </w:rPr>
        <w:t>项目预算投资</w:t>
      </w:r>
      <w:r>
        <w:rPr>
          <w:rFonts w:hint="eastAsia" w:ascii="仿宋_GB2312" w:hAnsi="仿宋_GB2312" w:eastAsia="仿宋_GB2312" w:cs="仿宋_GB2312"/>
          <w:sz w:val="32"/>
          <w:szCs w:val="32"/>
          <w:lang w:val="en-US" w:eastAsia="zh-CN"/>
        </w:rPr>
        <w:t>2000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用于保亭县新政水厂管网延伸工程（新政水厂至保城镇）</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项目严格按照合同金额执行，</w:t>
      </w:r>
      <w:r>
        <w:rPr>
          <w:rFonts w:hint="eastAsia" w:ascii="仿宋_GB2312" w:hAnsi="仿宋_GB2312" w:eastAsia="仿宋_GB2312" w:cs="仿宋_GB2312"/>
          <w:sz w:val="32"/>
          <w:szCs w:val="32"/>
        </w:rPr>
        <w:t>项目内容符合地区社会经济发展需求。</w:t>
      </w:r>
    </w:p>
    <w:p>
      <w:pPr>
        <w:keepNext w:val="0"/>
        <w:keepLines w:val="0"/>
        <w:pageBreakBefore w:val="0"/>
        <w:widowControl w:val="0"/>
        <w:kinsoku/>
        <w:wordWrap/>
        <w:overflowPunct/>
        <w:topLinePunct w:val="0"/>
        <w:autoSpaceDE/>
        <w:bidi w:val="0"/>
        <w:adjustRightInd/>
        <w:snapToGrid/>
        <w:spacing w:line="600" w:lineRule="exact"/>
        <w:ind w:right="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（2）项目成本（预算）节约情况</w:t>
      </w:r>
    </w:p>
    <w:p>
      <w:pPr>
        <w:keepNext w:val="0"/>
        <w:keepLines w:val="0"/>
        <w:pageBreakBefore w:val="0"/>
        <w:widowControl w:val="0"/>
        <w:kinsoku/>
        <w:wordWrap/>
        <w:overflowPunct/>
        <w:topLinePunct w:val="0"/>
        <w:autoSpaceDE/>
        <w:bidi w:val="0"/>
        <w:adjustRightInd/>
        <w:snapToGrid/>
        <w:spacing w:line="600" w:lineRule="exact"/>
        <w:ind w:right="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项目</w:t>
      </w:r>
      <w:r>
        <w:rPr>
          <w:rFonts w:hint="eastAsia" w:ascii="仿宋_GB2312" w:hAnsi="仿宋_GB2312" w:eastAsia="仿宋_GB2312" w:cs="仿宋_GB2312"/>
          <w:sz w:val="32"/>
          <w:szCs w:val="32"/>
          <w:lang w:eastAsia="zh-CN"/>
        </w:rPr>
        <w:t>资金</w:t>
      </w:r>
      <w:r>
        <w:rPr>
          <w:rFonts w:hint="eastAsia" w:ascii="仿宋_GB2312" w:hAnsi="仿宋_GB2312" w:eastAsia="仿宋_GB2312" w:cs="仿宋_GB2312"/>
          <w:sz w:val="32"/>
          <w:szCs w:val="32"/>
        </w:rPr>
        <w:t>根据项目内容确定，严格项目开支管理，严格控制经费使用，无重复开支和乱开支现象，项目</w:t>
      </w:r>
      <w:r>
        <w:rPr>
          <w:rFonts w:hint="eastAsia" w:ascii="仿宋_GB2312" w:hAnsi="仿宋_GB2312" w:eastAsia="仿宋_GB2312" w:cs="仿宋_GB2312"/>
          <w:sz w:val="32"/>
          <w:szCs w:val="32"/>
          <w:lang w:eastAsia="zh-CN"/>
        </w:rPr>
        <w:t>支出</w:t>
      </w:r>
      <w:r>
        <w:rPr>
          <w:rFonts w:hint="eastAsia" w:ascii="仿宋_GB2312" w:hAnsi="仿宋_GB2312" w:eastAsia="仿宋_GB2312" w:cs="仿宋_GB2312"/>
          <w:sz w:val="32"/>
          <w:szCs w:val="32"/>
          <w:lang w:val="en-US" w:eastAsia="zh-CN"/>
        </w:rPr>
        <w:t>2000</w:t>
      </w:r>
      <w:r>
        <w:rPr>
          <w:rFonts w:hint="eastAsia" w:ascii="仿宋_GB2312" w:hAnsi="仿宋_GB2312" w:eastAsia="仿宋_GB2312" w:cs="仿宋_GB2312"/>
          <w:sz w:val="32"/>
          <w:szCs w:val="32"/>
        </w:rPr>
        <w:t>万元，符合项目预算规定，没有超支与挪用现象。</w:t>
      </w:r>
    </w:p>
    <w:p>
      <w:pPr>
        <w:keepNext w:val="0"/>
        <w:keepLines w:val="0"/>
        <w:pageBreakBefore w:val="0"/>
        <w:widowControl w:val="0"/>
        <w:kinsoku/>
        <w:wordWrap/>
        <w:overflowPunct/>
        <w:topLinePunct w:val="0"/>
        <w:autoSpaceDE/>
        <w:bidi w:val="0"/>
        <w:adjustRightInd/>
        <w:snapToGrid/>
        <w:spacing w:line="600" w:lineRule="exact"/>
        <w:ind w:left="0" w:leftChars="0" w:right="0" w:firstLine="796" w:firstLineChars="249"/>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2、项目的效率性分析。</w:t>
      </w:r>
    </w:p>
    <w:p>
      <w:pPr>
        <w:keepNext w:val="0"/>
        <w:keepLines w:val="0"/>
        <w:pageBreakBefore w:val="0"/>
        <w:widowControl w:val="0"/>
        <w:kinsoku/>
        <w:wordWrap/>
        <w:overflowPunct/>
        <w:topLinePunct w:val="0"/>
        <w:autoSpaceDE/>
        <w:bidi w:val="0"/>
        <w:adjustRightInd/>
        <w:snapToGrid/>
        <w:spacing w:line="600" w:lineRule="exact"/>
        <w:ind w:left="0" w:leftChars="0" w:right="0" w:firstLine="796" w:firstLineChars="249"/>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（1）项目的实施进度</w:t>
      </w:r>
    </w:p>
    <w:p>
      <w:pPr>
        <w:keepNext w:val="0"/>
        <w:keepLines w:val="0"/>
        <w:pageBreakBefore w:val="0"/>
        <w:widowControl w:val="0"/>
        <w:kinsoku/>
        <w:wordWrap/>
        <w:overflowPunct/>
        <w:topLinePunct w:val="0"/>
        <w:autoSpaceDE/>
        <w:bidi w:val="0"/>
        <w:adjustRightInd/>
        <w:snapToGrid/>
        <w:spacing w:line="600" w:lineRule="exact"/>
        <w:ind w:left="0" w:leftChars="0" w:right="0" w:firstLine="796" w:firstLineChars="249"/>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color w:val="auto"/>
          <w:sz w:val="32"/>
          <w:szCs w:val="32"/>
          <w:highlight w:val="none"/>
          <w:lang w:val="en-US" w:eastAsia="zh-CN"/>
        </w:rPr>
        <w:t>项目于2023年6月完成招标并进场施工，截至2024年12月完成工程项目进度为100%，</w:t>
      </w:r>
      <w:r>
        <w:rPr>
          <w:rFonts w:hint="eastAsia" w:ascii="仿宋_GB2312" w:hAnsi="仿宋_GB2312" w:eastAsia="仿宋_GB2312" w:cs="仿宋_GB2312"/>
          <w:sz w:val="32"/>
          <w:szCs w:val="32"/>
          <w:lang w:eastAsia="zh-CN"/>
        </w:rPr>
        <w:t>项目经费按计划合理合法规范支出，做到不拖欠也不延期，开支途径顺畅，确保项目顺利实施。</w:t>
      </w:r>
    </w:p>
    <w:p>
      <w:pPr>
        <w:keepNext w:val="0"/>
        <w:keepLines w:val="0"/>
        <w:pageBreakBefore w:val="0"/>
        <w:widowControl w:val="0"/>
        <w:kinsoku/>
        <w:wordWrap/>
        <w:overflowPunct/>
        <w:topLinePunct w:val="0"/>
        <w:autoSpaceDE/>
        <w:bidi w:val="0"/>
        <w:adjustRightInd/>
        <w:snapToGrid/>
        <w:spacing w:line="600" w:lineRule="exact"/>
        <w:ind w:left="0" w:leftChars="0" w:right="0" w:firstLine="796" w:firstLineChars="249"/>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3、项目的效益性分析。</w:t>
      </w:r>
    </w:p>
    <w:p>
      <w:pPr>
        <w:keepNext w:val="0"/>
        <w:keepLines w:val="0"/>
        <w:pageBreakBefore w:val="0"/>
        <w:widowControl w:val="0"/>
        <w:kinsoku/>
        <w:wordWrap/>
        <w:overflowPunct/>
        <w:topLinePunct w:val="0"/>
        <w:autoSpaceDE/>
        <w:bidi w:val="0"/>
        <w:adjustRightInd/>
        <w:snapToGrid/>
        <w:spacing w:line="600" w:lineRule="exact"/>
        <w:ind w:left="0" w:leftChars="0" w:right="0" w:firstLine="796" w:firstLineChars="249"/>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（1）项目预期目标完成程度</w:t>
      </w:r>
    </w:p>
    <w:p>
      <w:pPr>
        <w:keepNext w:val="0"/>
        <w:keepLines w:val="0"/>
        <w:pageBreakBefore w:val="0"/>
        <w:widowControl w:val="0"/>
        <w:kinsoku/>
        <w:wordWrap/>
        <w:overflowPunct/>
        <w:topLinePunct w:val="0"/>
        <w:autoSpaceDE/>
        <w:bidi w:val="0"/>
        <w:adjustRightInd/>
        <w:snapToGrid/>
        <w:spacing w:line="600" w:lineRule="exact"/>
        <w:ind w:left="0" w:leftChars="0" w:right="0" w:firstLine="796" w:firstLineChars="249"/>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该项目按照方案有计划、有步骤稳妥实施，已全部完成工作任务，达到预期目的。</w:t>
      </w:r>
    </w:p>
    <w:p>
      <w:pPr>
        <w:keepNext w:val="0"/>
        <w:keepLines w:val="0"/>
        <w:pageBreakBefore w:val="0"/>
        <w:widowControl w:val="0"/>
        <w:kinsoku/>
        <w:wordWrap/>
        <w:overflowPunct/>
        <w:topLinePunct w:val="0"/>
        <w:autoSpaceDE/>
        <w:bidi w:val="0"/>
        <w:adjustRightInd/>
        <w:snapToGrid/>
        <w:spacing w:line="600" w:lineRule="exact"/>
        <w:ind w:left="0" w:leftChars="0" w:right="0" w:firstLine="796" w:firstLineChars="249"/>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（2）项目实施对经济和社会的影响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该项目建设解决了百姓的饮水安全问题，使农村与水有关的疾病发病率大幅度降低，特别是降低了由于水质问题引发传染病的可能性创造了良好社会环境。</w:t>
      </w:r>
    </w:p>
    <w:p>
      <w:pPr>
        <w:keepNext w:val="0"/>
        <w:keepLines w:val="0"/>
        <w:pageBreakBefore w:val="0"/>
        <w:widowControl w:val="0"/>
        <w:kinsoku/>
        <w:wordWrap/>
        <w:overflowPunct/>
        <w:topLinePunct w:val="0"/>
        <w:autoSpaceDE/>
        <w:bidi w:val="0"/>
        <w:adjustRightInd/>
        <w:snapToGrid/>
        <w:spacing w:line="600" w:lineRule="exact"/>
        <w:ind w:left="0" w:leftChars="0" w:right="0" w:firstLine="796" w:firstLineChars="249"/>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4、项目的可持续性分析。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加强后期管护，保持农村饮水安全的可持续发展，促进地区经济、社会、自然、文化稳定、协调和可持续发展。</w:t>
      </w:r>
    </w:p>
    <w:p>
      <w:pPr>
        <w:keepNext w:val="0"/>
        <w:keepLines w:val="0"/>
        <w:pageBreakBefore w:val="0"/>
        <w:widowControl w:val="0"/>
        <w:tabs>
          <w:tab w:val="left" w:pos="720"/>
        </w:tabs>
        <w:kinsoku/>
        <w:wordWrap/>
        <w:overflowPunct/>
        <w:topLinePunct w:val="0"/>
        <w:autoSpaceDE/>
        <w:bidi w:val="0"/>
        <w:adjustRightInd/>
        <w:snapToGrid/>
        <w:spacing w:line="600" w:lineRule="exact"/>
        <w:ind w:left="0" w:leftChars="0" w:right="0" w:firstLine="630" w:firstLineChars="196"/>
        <w:textAlignment w:val="auto"/>
        <w:outlineLvl w:val="0"/>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5、项目</w:t>
      </w:r>
      <w:r>
        <w:rPr>
          <w:rFonts w:hint="eastAsia" w:ascii="仿宋_GB2312" w:hAnsi="仿宋_GB2312" w:eastAsia="仿宋_GB2312" w:cs="仿宋_GB2312"/>
          <w:b/>
          <w:color w:val="000000"/>
          <w:sz w:val="32"/>
          <w:szCs w:val="32"/>
        </w:rPr>
        <w:t>预算批复的绩效指标完成</w:t>
      </w:r>
      <w:r>
        <w:rPr>
          <w:rFonts w:hint="eastAsia" w:ascii="仿宋_GB2312" w:hAnsi="仿宋_GB2312" w:eastAsia="仿宋_GB2312" w:cs="仿宋_GB2312"/>
          <w:b/>
          <w:bCs/>
          <w:color w:val="000000"/>
          <w:sz w:val="32"/>
          <w:szCs w:val="32"/>
        </w:rPr>
        <w:t>情况分析</w:t>
      </w:r>
    </w:p>
    <w:p>
      <w:pPr>
        <w:keepNext w:val="0"/>
        <w:keepLines w:val="0"/>
        <w:pageBreakBefore w:val="0"/>
        <w:widowControl w:val="0"/>
        <w:kinsoku/>
        <w:wordWrap/>
        <w:overflowPunct/>
        <w:topLinePunct w:val="0"/>
        <w:autoSpaceDE/>
        <w:bidi w:val="0"/>
        <w:adjustRightInd/>
        <w:snapToGrid/>
        <w:spacing w:line="600" w:lineRule="exact"/>
        <w:ind w:left="0" w:leftChars="0" w:right="0" w:firstLine="640" w:firstLineChars="20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1、产出指标：</w:t>
      </w:r>
    </w:p>
    <w:p>
      <w:pPr>
        <w:keepNext w:val="0"/>
        <w:keepLines w:val="0"/>
        <w:pageBreakBefore w:val="0"/>
        <w:widowControl w:val="0"/>
        <w:kinsoku/>
        <w:wordWrap/>
        <w:overflowPunct/>
        <w:topLinePunct w:val="0"/>
        <w:autoSpaceDE/>
        <w:bidi w:val="0"/>
        <w:adjustRightInd/>
        <w:snapToGrid/>
        <w:spacing w:line="600" w:lineRule="exact"/>
        <w:ind w:left="0" w:leftChars="0" w:right="0" w:firstLine="640" w:firstLineChars="20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在规定的时间完成工作，绩效标准达到“</w:t>
      </w:r>
      <w:r>
        <w:rPr>
          <w:rFonts w:hint="eastAsia" w:ascii="仿宋_GB2312" w:hAnsi="仿宋_GB2312" w:eastAsia="仿宋_GB2312" w:cs="仿宋_GB2312"/>
          <w:bCs/>
          <w:sz w:val="32"/>
          <w:szCs w:val="32"/>
          <w:lang w:eastAsia="zh-CN"/>
        </w:rPr>
        <w:t>中</w:t>
      </w:r>
      <w:r>
        <w:rPr>
          <w:rFonts w:hint="eastAsia" w:ascii="仿宋_GB2312" w:hAnsi="仿宋_GB2312" w:eastAsia="仿宋_GB2312" w:cs="仿宋_GB2312"/>
          <w:bCs/>
          <w:sz w:val="32"/>
          <w:szCs w:val="32"/>
        </w:rPr>
        <w:t>”。</w:t>
      </w:r>
    </w:p>
    <w:p>
      <w:pPr>
        <w:keepNext w:val="0"/>
        <w:keepLines w:val="0"/>
        <w:pageBreakBefore w:val="0"/>
        <w:widowControl w:val="0"/>
        <w:kinsoku/>
        <w:wordWrap/>
        <w:overflowPunct/>
        <w:topLinePunct w:val="0"/>
        <w:autoSpaceDE/>
        <w:bidi w:val="0"/>
        <w:adjustRightInd/>
        <w:snapToGrid/>
        <w:spacing w:line="600" w:lineRule="exact"/>
        <w:ind w:left="0" w:leftChars="0" w:right="0" w:firstLine="640" w:firstLineChars="20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2、成效指标：</w:t>
      </w:r>
    </w:p>
    <w:p>
      <w:pPr>
        <w:keepNext w:val="0"/>
        <w:keepLines w:val="0"/>
        <w:pageBreakBefore w:val="0"/>
        <w:widowControl w:val="0"/>
        <w:kinsoku/>
        <w:wordWrap/>
        <w:overflowPunct/>
        <w:topLinePunct w:val="0"/>
        <w:autoSpaceDE/>
        <w:bidi w:val="0"/>
        <w:adjustRightInd/>
        <w:snapToGrid/>
        <w:spacing w:line="600" w:lineRule="exact"/>
        <w:ind w:left="0" w:leftChars="0" w:right="0" w:firstLine="320" w:firstLineChars="10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 w:val="0"/>
          <w:bCs/>
          <w:sz w:val="32"/>
          <w:szCs w:val="32"/>
        </w:rPr>
        <w:t>（1）</w:t>
      </w:r>
      <w:r>
        <w:rPr>
          <w:rFonts w:hint="eastAsia" w:ascii="仿宋_GB2312" w:hAnsi="仿宋_GB2312" w:eastAsia="仿宋_GB2312" w:cs="仿宋_GB2312"/>
          <w:bCs/>
          <w:color w:val="000000"/>
          <w:kern w:val="0"/>
          <w:sz w:val="32"/>
          <w:szCs w:val="32"/>
          <w:lang w:eastAsia="zh-CN"/>
        </w:rPr>
        <w:t>完成工程建设任务</w:t>
      </w:r>
      <w:r>
        <w:rPr>
          <w:rFonts w:hint="eastAsia" w:ascii="仿宋_GB2312" w:hAnsi="仿宋_GB2312" w:eastAsia="仿宋_GB2312" w:cs="仿宋_GB2312"/>
          <w:bCs/>
          <w:sz w:val="32"/>
          <w:szCs w:val="32"/>
        </w:rPr>
        <w:t>率100%，绩效标准达到“</w:t>
      </w:r>
      <w:r>
        <w:rPr>
          <w:rFonts w:hint="eastAsia" w:ascii="仿宋_GB2312" w:hAnsi="仿宋_GB2312" w:eastAsia="仿宋_GB2312" w:cs="仿宋_GB2312"/>
          <w:bCs/>
          <w:sz w:val="32"/>
          <w:szCs w:val="32"/>
          <w:lang w:eastAsia="zh-CN"/>
        </w:rPr>
        <w:t>良</w:t>
      </w:r>
      <w:r>
        <w:rPr>
          <w:rFonts w:hint="eastAsia" w:ascii="仿宋_GB2312" w:hAnsi="仿宋_GB2312" w:eastAsia="仿宋_GB2312" w:cs="仿宋_GB2312"/>
          <w:bCs/>
          <w:sz w:val="32"/>
          <w:szCs w:val="32"/>
        </w:rPr>
        <w:t>”。</w:t>
      </w:r>
    </w:p>
    <w:p>
      <w:pPr>
        <w:keepNext w:val="0"/>
        <w:keepLines w:val="0"/>
        <w:pageBreakBefore w:val="0"/>
        <w:widowControl w:val="0"/>
        <w:kinsoku/>
        <w:wordWrap/>
        <w:overflowPunct/>
        <w:topLinePunct w:val="0"/>
        <w:autoSpaceDE/>
        <w:bidi w:val="0"/>
        <w:adjustRightInd/>
        <w:snapToGrid/>
        <w:spacing w:line="600" w:lineRule="exact"/>
        <w:ind w:left="0" w:leftChars="0" w:right="0" w:firstLine="320" w:firstLineChars="10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val="en-US" w:eastAsia="zh-CN"/>
        </w:rPr>
        <w:t>2</w:t>
      </w:r>
      <w:r>
        <w:rPr>
          <w:rFonts w:hint="eastAsia" w:ascii="仿宋_GB2312" w:hAnsi="仿宋_GB2312" w:eastAsia="仿宋_GB2312" w:cs="仿宋_GB2312"/>
          <w:bCs/>
          <w:sz w:val="32"/>
          <w:szCs w:val="32"/>
        </w:rPr>
        <w:t>）</w:t>
      </w:r>
      <w:r>
        <w:rPr>
          <w:rFonts w:hint="eastAsia" w:ascii="仿宋_GB2312" w:hAnsi="仿宋_GB2312" w:eastAsia="仿宋_GB2312" w:cs="仿宋_GB2312"/>
          <w:bCs/>
          <w:color w:val="000000"/>
          <w:kern w:val="0"/>
          <w:sz w:val="32"/>
          <w:szCs w:val="32"/>
          <w:lang w:eastAsia="zh-CN"/>
        </w:rPr>
        <w:t>服务对象满意度达</w:t>
      </w:r>
      <w:r>
        <w:rPr>
          <w:rFonts w:hint="eastAsia" w:ascii="仿宋_GB2312" w:hAnsi="仿宋_GB2312" w:eastAsia="仿宋_GB2312" w:cs="仿宋_GB2312"/>
          <w:bCs/>
          <w:sz w:val="32"/>
          <w:szCs w:val="32"/>
          <w:lang w:val="en-US" w:eastAsia="zh-CN"/>
        </w:rPr>
        <w:t>90</w:t>
      </w:r>
      <w:r>
        <w:rPr>
          <w:rFonts w:hint="eastAsia" w:ascii="仿宋_GB2312" w:hAnsi="仿宋_GB2312" w:eastAsia="仿宋_GB2312" w:cs="仿宋_GB2312"/>
          <w:bCs/>
          <w:sz w:val="32"/>
          <w:szCs w:val="32"/>
        </w:rPr>
        <w:t>%，绩效标准达到“优”。</w:t>
      </w:r>
    </w:p>
    <w:p>
      <w:pPr>
        <w:keepNext w:val="0"/>
        <w:keepLines w:val="0"/>
        <w:pageBreakBefore w:val="0"/>
        <w:widowControl w:val="0"/>
        <w:kinsoku/>
        <w:wordWrap/>
        <w:overflowPunct/>
        <w:topLinePunct w:val="0"/>
        <w:autoSpaceDE/>
        <w:bidi w:val="0"/>
        <w:adjustRightInd/>
        <w:snapToGrid/>
        <w:spacing w:line="600" w:lineRule="exact"/>
        <w:ind w:left="0" w:leftChars="0" w:right="0" w:firstLine="640" w:firstLineChars="200"/>
        <w:textAlignment w:val="auto"/>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sz w:val="32"/>
          <w:szCs w:val="32"/>
        </w:rPr>
        <w:t>3、效率指标：成本控制不超预算，绩效标准达到“</w:t>
      </w:r>
      <w:r>
        <w:rPr>
          <w:rFonts w:hint="eastAsia" w:ascii="仿宋_GB2312" w:hAnsi="仿宋_GB2312" w:eastAsia="仿宋_GB2312" w:cs="仿宋_GB2312"/>
          <w:bCs/>
          <w:sz w:val="32"/>
          <w:szCs w:val="32"/>
          <w:lang w:eastAsia="zh-CN"/>
        </w:rPr>
        <w:t>优</w:t>
      </w:r>
      <w:r>
        <w:rPr>
          <w:rFonts w:hint="eastAsia" w:ascii="仿宋_GB2312" w:hAnsi="仿宋_GB2312" w:eastAsia="仿宋_GB2312" w:cs="仿宋_GB2312"/>
          <w:bCs/>
          <w:sz w:val="32"/>
          <w:szCs w:val="32"/>
        </w:rPr>
        <w:t>”</w:t>
      </w:r>
      <w:r>
        <w:rPr>
          <w:rFonts w:hint="eastAsia" w:ascii="仿宋_GB2312" w:hAnsi="仿宋_GB2312" w:eastAsia="仿宋_GB2312" w:cs="仿宋_GB2312"/>
          <w:b/>
          <w:bCs/>
          <w:sz w:val="32"/>
          <w:szCs w:val="32"/>
        </w:rPr>
        <w:t>。</w:t>
      </w:r>
    </w:p>
    <w:p>
      <w:pPr>
        <w:keepNext w:val="0"/>
        <w:keepLines w:val="0"/>
        <w:pageBreakBefore w:val="0"/>
        <w:widowControl w:val="0"/>
        <w:tabs>
          <w:tab w:val="left" w:pos="900"/>
          <w:tab w:val="left" w:pos="1080"/>
        </w:tabs>
        <w:kinsoku/>
        <w:wordWrap/>
        <w:overflowPunct/>
        <w:topLinePunct w:val="0"/>
        <w:autoSpaceDE/>
        <w:bidi w:val="0"/>
        <w:adjustRightInd/>
        <w:snapToGrid/>
        <w:spacing w:line="600" w:lineRule="exact"/>
        <w:ind w:left="0" w:leftChars="0" w:right="0" w:firstLine="472" w:firstLineChars="147"/>
        <w:textAlignment w:val="auto"/>
        <w:outlineLvl w:val="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五、综合评价情况及评价结论</w:t>
      </w:r>
    </w:p>
    <w:p>
      <w:pPr>
        <w:pStyle w:val="2"/>
        <w:spacing w:line="360" w:lineRule="auto"/>
        <w:ind w:firstLine="688" w:firstLineChars="215"/>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绩效自评总分分值100分，自评得分</w:t>
      </w:r>
      <w:r>
        <w:rPr>
          <w:rFonts w:hint="eastAsia" w:ascii="仿宋_GB2312" w:hAnsi="仿宋_GB2312" w:eastAsia="仿宋_GB2312" w:cs="仿宋_GB2312"/>
          <w:sz w:val="32"/>
          <w:szCs w:val="32"/>
          <w:highlight w:val="none"/>
          <w:lang w:val="en-US" w:eastAsia="zh-CN"/>
        </w:rPr>
        <w:t>89</w:t>
      </w:r>
      <w:r>
        <w:rPr>
          <w:rFonts w:hint="eastAsia" w:ascii="仿宋_GB2312" w:hAnsi="仿宋_GB2312" w:eastAsia="仿宋_GB2312" w:cs="仿宋_GB2312"/>
          <w:sz w:val="32"/>
          <w:szCs w:val="32"/>
          <w:highlight w:val="none"/>
        </w:rPr>
        <w:t>分，评价等级为</w:t>
      </w:r>
      <w:r>
        <w:rPr>
          <w:rFonts w:hint="eastAsia" w:ascii="仿宋_GB2312" w:hAnsi="仿宋_GB2312" w:eastAsia="仿宋_GB2312" w:cs="仿宋_GB2312"/>
          <w:sz w:val="32"/>
          <w:szCs w:val="32"/>
          <w:highlight w:val="none"/>
          <w:lang w:eastAsia="zh-CN"/>
        </w:rPr>
        <w:t>良</w:t>
      </w:r>
      <w:r>
        <w:rPr>
          <w:rFonts w:hint="eastAsia" w:ascii="仿宋_GB2312" w:hAnsi="仿宋_GB2312" w:eastAsia="仿宋_GB2312" w:cs="仿宋_GB2312"/>
          <w:sz w:val="32"/>
          <w:szCs w:val="32"/>
          <w:highlight w:val="none"/>
        </w:rPr>
        <w:t>。</w:t>
      </w:r>
    </w:p>
    <w:p>
      <w:pPr>
        <w:pStyle w:val="2"/>
        <w:spacing w:line="360" w:lineRule="auto"/>
        <w:ind w:firstLine="688" w:firstLineChars="215"/>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rPr>
        <w:t>年我</w:t>
      </w:r>
      <w:r>
        <w:rPr>
          <w:rFonts w:hint="eastAsia" w:ascii="仿宋_GB2312" w:hAnsi="仿宋_GB2312" w:eastAsia="仿宋_GB2312" w:cs="仿宋_GB2312"/>
          <w:sz w:val="32"/>
          <w:szCs w:val="32"/>
          <w:highlight w:val="none"/>
          <w:lang w:eastAsia="zh-CN"/>
        </w:rPr>
        <w:t>中心</w:t>
      </w:r>
      <w:r>
        <w:rPr>
          <w:rFonts w:hint="eastAsia" w:ascii="仿宋_GB2312" w:hAnsi="仿宋_GB2312" w:eastAsia="仿宋_GB2312" w:cs="仿宋_GB2312"/>
          <w:sz w:val="32"/>
          <w:szCs w:val="32"/>
          <w:highlight w:val="none"/>
        </w:rPr>
        <w:t>自</w:t>
      </w:r>
      <w:r>
        <w:rPr>
          <w:rFonts w:hint="eastAsia" w:ascii="仿宋_GB2312" w:hAnsi="仿宋_GB2312" w:eastAsia="仿宋_GB2312" w:cs="仿宋_GB2312"/>
          <w:sz w:val="32"/>
          <w:szCs w:val="32"/>
          <w:highlight w:val="none"/>
          <w:lang w:eastAsia="zh-CN"/>
        </w:rPr>
        <w:t>资金下达</w:t>
      </w:r>
      <w:r>
        <w:rPr>
          <w:rFonts w:hint="eastAsia" w:ascii="仿宋_GB2312" w:hAnsi="仿宋_GB2312" w:eastAsia="仿宋_GB2312" w:cs="仿宋_GB2312"/>
          <w:sz w:val="32"/>
          <w:szCs w:val="32"/>
          <w:highlight w:val="none"/>
        </w:rPr>
        <w:t>即开始组织开展工作，从项目前期准备工作到项目实施，均按相关管理规定及有关制度稳步开展，从项目决策、项目管理、实施效果及群众满意度等方面；资金使用效果较为良好，项目的实施</w:t>
      </w:r>
      <w:r>
        <w:rPr>
          <w:rFonts w:hint="eastAsia" w:ascii="仿宋_GB2312" w:hAnsi="仿宋_GB2312" w:eastAsia="仿宋_GB2312" w:cs="仿宋_GB2312"/>
          <w:sz w:val="32"/>
          <w:szCs w:val="32"/>
          <w:highlight w:val="none"/>
          <w:lang w:val="en-US" w:eastAsia="zh-CN"/>
        </w:rPr>
        <w:t>解决了群众的供水需求及提高了群众</w:t>
      </w:r>
      <w:r>
        <w:rPr>
          <w:rFonts w:hint="eastAsia" w:ascii="仿宋_GB2312" w:hAnsi="仿宋_GB2312" w:eastAsia="仿宋_GB2312" w:cs="仿宋_GB2312"/>
          <w:sz w:val="32"/>
          <w:szCs w:val="32"/>
          <w:highlight w:val="none"/>
        </w:rPr>
        <w:t>的满意度。</w:t>
      </w:r>
    </w:p>
    <w:p>
      <w:pPr>
        <w:keepNext w:val="0"/>
        <w:keepLines w:val="0"/>
        <w:pageBreakBefore w:val="0"/>
        <w:widowControl w:val="0"/>
        <w:kinsoku/>
        <w:wordWrap/>
        <w:overflowPunct/>
        <w:topLinePunct w:val="0"/>
        <w:autoSpaceDE/>
        <w:bidi w:val="0"/>
        <w:adjustRightInd/>
        <w:snapToGrid/>
        <w:spacing w:line="600" w:lineRule="exact"/>
        <w:ind w:left="0" w:leftChars="0" w:right="0"/>
        <w:textAlignment w:val="auto"/>
        <w:rPr>
          <w:rFonts w:hint="eastAsia" w:ascii="仿宋_GB2312" w:hAnsi="仿宋_GB2312" w:eastAsia="仿宋_GB2312" w:cs="仿宋_GB2312"/>
          <w:sz w:val="32"/>
          <w:szCs w:val="32"/>
        </w:rPr>
      </w:pPr>
    </w:p>
    <w:p>
      <w:pPr>
        <w:keepNext w:val="0"/>
        <w:keepLines w:val="0"/>
        <w:pageBreakBefore w:val="0"/>
        <w:kinsoku/>
        <w:wordWrap/>
        <w:overflowPunct/>
        <w:topLinePunct w:val="0"/>
        <w:autoSpaceDE/>
        <w:bidi w:val="0"/>
        <w:spacing w:line="600" w:lineRule="exact"/>
        <w:rPr>
          <w:rFonts w:hint="eastAsia"/>
          <w:b/>
          <w:bCs/>
        </w:rPr>
      </w:pPr>
    </w:p>
    <w:sectPr>
      <w:headerReference r:id="rId3" w:type="default"/>
      <w:footerReference r:id="rId5" w:type="default"/>
      <w:headerReference r:id="rId4" w:type="even"/>
      <w:footerReference r:id="rId6" w:type="even"/>
      <w:pgSz w:w="11906" w:h="16838"/>
      <w:pgMar w:top="1701" w:right="1587" w:bottom="1474" w:left="1587" w:header="851" w:footer="964" w:gutter="0"/>
      <w:pgNumType w:fmt="numberInDash"/>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10002FF" w:usb1="4000ACFF" w:usb2="00000009"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10002FF" w:usb1="4000ACFF" w:usb2="00000009"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10002FF" w:usb1="4000ACFF" w:usb2="00000009" w:usb3="00000000" w:csb0="2000019F" w:csb1="0000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Tms Rmn">
    <w:altName w:val="Segoe Print"/>
    <w:panose1 w:val="02020603040505020304"/>
    <w:charset w:val="00"/>
    <w:family w:val="auto"/>
    <w:pitch w:val="default"/>
    <w:sig w:usb0="00000000" w:usb1="00000000" w:usb2="00000000" w:usb3="00000000" w:csb0="0000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 w:name="Tahoma">
    <w:panose1 w:val="020B0604030504040204"/>
    <w:charset w:val="00"/>
    <w:family w:val="auto"/>
    <w:pitch w:val="default"/>
    <w:sig w:usb0="E1002EFF" w:usb1="C000605B" w:usb2="00000029" w:usb3="00000000" w:csb0="200101FF" w:csb1="20280000"/>
  </w:font>
  <w:font w:name="方正小标宋_GBK">
    <w:altName w:val="微软雅黑"/>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rPr>
        <w:rFonts w:ascii="仿宋_GB2312" w:eastAsia="仿宋_GB2312"/>
        <w:sz w:val="28"/>
        <w:szCs w:val="28"/>
      </w:rPr>
    </w:pPr>
    <w:r>
      <w:rPr>
        <w:rFonts w:hint="eastAsia" w:ascii="仿宋_GB2312" w:eastAsia="仿宋_GB2312"/>
        <w:sz w:val="28"/>
        <w:szCs w:val="28"/>
      </w:rPr>
      <w:fldChar w:fldCharType="begin"/>
    </w:r>
    <w:r>
      <w:rPr>
        <w:rFonts w:hint="eastAsia" w:ascii="仿宋_GB2312" w:eastAsia="仿宋_GB2312"/>
        <w:sz w:val="28"/>
        <w:szCs w:val="28"/>
      </w:rPr>
      <w:instrText xml:space="preserve">PAGE   \* MERGEFORMAT</w:instrText>
    </w:r>
    <w:r>
      <w:rPr>
        <w:rFonts w:hint="eastAsia" w:ascii="仿宋_GB2312" w:eastAsia="仿宋_GB2312"/>
        <w:sz w:val="28"/>
        <w:szCs w:val="28"/>
      </w:rPr>
      <w:fldChar w:fldCharType="separate"/>
    </w:r>
    <w:r>
      <w:rPr>
        <w:rFonts w:ascii="仿宋_GB2312" w:eastAsia="仿宋_GB2312"/>
        <w:sz w:val="28"/>
        <w:szCs w:val="28"/>
        <w:lang w:val="zh-CN"/>
      </w:rPr>
      <w:t>-</w:t>
    </w:r>
    <w:r>
      <w:rPr>
        <w:rFonts w:ascii="仿宋_GB2312" w:eastAsia="仿宋_GB2312"/>
        <w:sz w:val="28"/>
        <w:szCs w:val="28"/>
      </w:rPr>
      <w:t xml:space="preserve"> 1 -</w:t>
    </w:r>
    <w:r>
      <w:rPr>
        <w:rFonts w:hint="eastAsia" w:ascii="仿宋_GB2312" w:eastAsia="仿宋_GB2312"/>
        <w:sz w:val="28"/>
        <w:szCs w:val="28"/>
      </w:rPr>
      <w:fldChar w:fldCharType="end"/>
    </w: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ascii="仿宋_GB2312" w:eastAsia="仿宋_GB2312"/>
        <w:sz w:val="28"/>
        <w:szCs w:val="28"/>
      </w:rPr>
    </w:pPr>
    <w:r>
      <w:rPr>
        <w:rFonts w:hint="eastAsia" w:ascii="仿宋_GB2312" w:eastAsia="仿宋_GB2312"/>
        <w:sz w:val="28"/>
        <w:szCs w:val="28"/>
      </w:rPr>
      <w:fldChar w:fldCharType="begin"/>
    </w:r>
    <w:r>
      <w:rPr>
        <w:rFonts w:hint="eastAsia" w:ascii="仿宋_GB2312" w:eastAsia="仿宋_GB2312"/>
        <w:sz w:val="28"/>
        <w:szCs w:val="28"/>
      </w:rPr>
      <w:instrText xml:space="preserve">PAGE   \* MERGEFORMAT</w:instrText>
    </w:r>
    <w:r>
      <w:rPr>
        <w:rFonts w:hint="eastAsia" w:ascii="仿宋_GB2312" w:eastAsia="仿宋_GB2312"/>
        <w:sz w:val="28"/>
        <w:szCs w:val="28"/>
      </w:rPr>
      <w:fldChar w:fldCharType="separate"/>
    </w:r>
    <w:r>
      <w:rPr>
        <w:rFonts w:ascii="仿宋_GB2312" w:eastAsia="仿宋_GB2312"/>
        <w:sz w:val="28"/>
        <w:szCs w:val="28"/>
        <w:lang w:val="zh-CN"/>
      </w:rPr>
      <w:t>-</w:t>
    </w:r>
    <w:r>
      <w:rPr>
        <w:rFonts w:ascii="仿宋_GB2312" w:eastAsia="仿宋_GB2312"/>
        <w:sz w:val="28"/>
        <w:szCs w:val="28"/>
      </w:rPr>
      <w:t xml:space="preserve"> 20 -</w:t>
    </w:r>
    <w:r>
      <w:rPr>
        <w:rFonts w:hint="eastAsia" w:ascii="仿宋_GB2312" w:eastAsia="仿宋_GB2312"/>
        <w:sz w:val="28"/>
        <w:szCs w:val="28"/>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939060471">
    <w:nsid w:val="37F8ECF7"/>
    <w:multiLevelType w:val="singleLevel"/>
    <w:tmpl w:val="37F8ECF7"/>
    <w:lvl w:ilvl="0" w:tentative="1">
      <w:start w:val="2"/>
      <w:numFmt w:val="chineseCounting"/>
      <w:suff w:val="nothing"/>
      <w:lvlText w:val="（%1）"/>
      <w:lvlJc w:val="left"/>
      <w:rPr>
        <w:rFonts w:hint="eastAsia"/>
      </w:rPr>
    </w:lvl>
  </w:abstractNum>
  <w:num w:numId="1">
    <w:abstractNumId w:val="93906047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docVars>
    <w:docVar w:name="commondata" w:val="eyJoZGlkIjoiYzNiMTQxZTk3YzU2MGZlMTk0ZGYxN2ViODg5MjFjOWYifQ=="/>
  </w:docVars>
  <w:rsids>
    <w:rsidRoot w:val="000223D9"/>
    <w:rsid w:val="000223D9"/>
    <w:rsid w:val="000573FC"/>
    <w:rsid w:val="001715A0"/>
    <w:rsid w:val="001B043F"/>
    <w:rsid w:val="00226ECF"/>
    <w:rsid w:val="00372EF4"/>
    <w:rsid w:val="00380101"/>
    <w:rsid w:val="003874E4"/>
    <w:rsid w:val="004279E3"/>
    <w:rsid w:val="00434457"/>
    <w:rsid w:val="004B4462"/>
    <w:rsid w:val="0055204B"/>
    <w:rsid w:val="0058477E"/>
    <w:rsid w:val="005B2198"/>
    <w:rsid w:val="00695C99"/>
    <w:rsid w:val="00741102"/>
    <w:rsid w:val="007A6A9E"/>
    <w:rsid w:val="007C2FB2"/>
    <w:rsid w:val="008234FD"/>
    <w:rsid w:val="00881362"/>
    <w:rsid w:val="0089349E"/>
    <w:rsid w:val="009B2DB0"/>
    <w:rsid w:val="00B82092"/>
    <w:rsid w:val="00BF2380"/>
    <w:rsid w:val="00C72BC0"/>
    <w:rsid w:val="00CA1E7B"/>
    <w:rsid w:val="00CA5BD2"/>
    <w:rsid w:val="00CC51E2"/>
    <w:rsid w:val="00DC329C"/>
    <w:rsid w:val="00E3440D"/>
    <w:rsid w:val="00E426D3"/>
    <w:rsid w:val="00F80B4A"/>
    <w:rsid w:val="00F87FF3"/>
    <w:rsid w:val="00FB2B22"/>
    <w:rsid w:val="024364DA"/>
    <w:rsid w:val="03821029"/>
    <w:rsid w:val="040B1461"/>
    <w:rsid w:val="04206FB9"/>
    <w:rsid w:val="045A4358"/>
    <w:rsid w:val="050F4F8C"/>
    <w:rsid w:val="05E90AD9"/>
    <w:rsid w:val="066C452B"/>
    <w:rsid w:val="09931095"/>
    <w:rsid w:val="09B11499"/>
    <w:rsid w:val="09E60B9C"/>
    <w:rsid w:val="0D3D78B2"/>
    <w:rsid w:val="0D566A7E"/>
    <w:rsid w:val="0D981131"/>
    <w:rsid w:val="0DA90834"/>
    <w:rsid w:val="0DD031D5"/>
    <w:rsid w:val="0EDA2004"/>
    <w:rsid w:val="0F3B38A4"/>
    <w:rsid w:val="0F6806F7"/>
    <w:rsid w:val="0F9C44BD"/>
    <w:rsid w:val="11AB42AA"/>
    <w:rsid w:val="11B56148"/>
    <w:rsid w:val="11F10FCC"/>
    <w:rsid w:val="127C5AE2"/>
    <w:rsid w:val="12E3653A"/>
    <w:rsid w:val="151A1F9F"/>
    <w:rsid w:val="157546A7"/>
    <w:rsid w:val="16F51FB6"/>
    <w:rsid w:val="17876A33"/>
    <w:rsid w:val="18197015"/>
    <w:rsid w:val="18541346"/>
    <w:rsid w:val="1863501E"/>
    <w:rsid w:val="18EF4C19"/>
    <w:rsid w:val="1A4346B1"/>
    <w:rsid w:val="1AE7714C"/>
    <w:rsid w:val="1CD34CD9"/>
    <w:rsid w:val="1CEE72BC"/>
    <w:rsid w:val="1D013E78"/>
    <w:rsid w:val="1EFB78C1"/>
    <w:rsid w:val="1FB62487"/>
    <w:rsid w:val="20191584"/>
    <w:rsid w:val="21E406C0"/>
    <w:rsid w:val="228D6792"/>
    <w:rsid w:val="239404D2"/>
    <w:rsid w:val="247B506A"/>
    <w:rsid w:val="247E1F2A"/>
    <w:rsid w:val="24C705DB"/>
    <w:rsid w:val="251A03A2"/>
    <w:rsid w:val="28E85E0E"/>
    <w:rsid w:val="2A104056"/>
    <w:rsid w:val="2D827D68"/>
    <w:rsid w:val="2DDA0EA0"/>
    <w:rsid w:val="2DE84BB7"/>
    <w:rsid w:val="2E485B2D"/>
    <w:rsid w:val="2FD735FA"/>
    <w:rsid w:val="30D70D0F"/>
    <w:rsid w:val="32787731"/>
    <w:rsid w:val="336049B2"/>
    <w:rsid w:val="34E57011"/>
    <w:rsid w:val="36057FDF"/>
    <w:rsid w:val="37120614"/>
    <w:rsid w:val="37C0113C"/>
    <w:rsid w:val="37F37C8A"/>
    <w:rsid w:val="382B1402"/>
    <w:rsid w:val="3A9D300D"/>
    <w:rsid w:val="3AF52211"/>
    <w:rsid w:val="3B2229C5"/>
    <w:rsid w:val="3B6C1927"/>
    <w:rsid w:val="3BBE3A3F"/>
    <w:rsid w:val="3BDD7D78"/>
    <w:rsid w:val="3D401208"/>
    <w:rsid w:val="3E2A590C"/>
    <w:rsid w:val="3E8E51C8"/>
    <w:rsid w:val="3F9D36D7"/>
    <w:rsid w:val="3FCB2704"/>
    <w:rsid w:val="419670F0"/>
    <w:rsid w:val="42D11DF7"/>
    <w:rsid w:val="43F67328"/>
    <w:rsid w:val="44F53532"/>
    <w:rsid w:val="453723D4"/>
    <w:rsid w:val="4596336B"/>
    <w:rsid w:val="45E61A04"/>
    <w:rsid w:val="464B6965"/>
    <w:rsid w:val="469E6980"/>
    <w:rsid w:val="46B057EA"/>
    <w:rsid w:val="47703572"/>
    <w:rsid w:val="47AC5DBC"/>
    <w:rsid w:val="48CE5E64"/>
    <w:rsid w:val="493D2E23"/>
    <w:rsid w:val="49926EA4"/>
    <w:rsid w:val="4A740247"/>
    <w:rsid w:val="4AF440F5"/>
    <w:rsid w:val="4BAB78C0"/>
    <w:rsid w:val="4CA95DDF"/>
    <w:rsid w:val="4CE82765"/>
    <w:rsid w:val="4D44275A"/>
    <w:rsid w:val="4F722FCC"/>
    <w:rsid w:val="50540993"/>
    <w:rsid w:val="50FA7F29"/>
    <w:rsid w:val="518F1700"/>
    <w:rsid w:val="52C114F8"/>
    <w:rsid w:val="537E4FC1"/>
    <w:rsid w:val="54690427"/>
    <w:rsid w:val="561E1D8C"/>
    <w:rsid w:val="56D52A39"/>
    <w:rsid w:val="576B46B2"/>
    <w:rsid w:val="57925A39"/>
    <w:rsid w:val="579F3827"/>
    <w:rsid w:val="57CB5AE9"/>
    <w:rsid w:val="57D85EC7"/>
    <w:rsid w:val="59BB7DFF"/>
    <w:rsid w:val="59D404ED"/>
    <w:rsid w:val="5AA462BC"/>
    <w:rsid w:val="5B92474D"/>
    <w:rsid w:val="5CE94325"/>
    <w:rsid w:val="5D950FF9"/>
    <w:rsid w:val="5DA43B4C"/>
    <w:rsid w:val="5DB57F66"/>
    <w:rsid w:val="5E387BAC"/>
    <w:rsid w:val="5E6D4B86"/>
    <w:rsid w:val="5F675798"/>
    <w:rsid w:val="602A63AA"/>
    <w:rsid w:val="60D36972"/>
    <w:rsid w:val="61AD1B06"/>
    <w:rsid w:val="61B06644"/>
    <w:rsid w:val="61EA6E24"/>
    <w:rsid w:val="62EA0803"/>
    <w:rsid w:val="63E9733B"/>
    <w:rsid w:val="668F5270"/>
    <w:rsid w:val="669C425A"/>
    <w:rsid w:val="6858546E"/>
    <w:rsid w:val="690158BE"/>
    <w:rsid w:val="69066128"/>
    <w:rsid w:val="6EA939F3"/>
    <w:rsid w:val="6F555881"/>
    <w:rsid w:val="70191090"/>
    <w:rsid w:val="7078202E"/>
    <w:rsid w:val="710A0BC0"/>
    <w:rsid w:val="724B5893"/>
    <w:rsid w:val="743A0CC1"/>
    <w:rsid w:val="75D76F34"/>
    <w:rsid w:val="778A780E"/>
    <w:rsid w:val="779054B5"/>
    <w:rsid w:val="77AA059F"/>
    <w:rsid w:val="77B72A62"/>
    <w:rsid w:val="77DB6067"/>
    <w:rsid w:val="78E83DAB"/>
    <w:rsid w:val="792D7153"/>
    <w:rsid w:val="796235FF"/>
    <w:rsid w:val="79695057"/>
    <w:rsid w:val="7A1779F7"/>
    <w:rsid w:val="7B63141F"/>
    <w:rsid w:val="7F097CB3"/>
    <w:rsid w:val="7F4F0D3B"/>
    <w:rsid w:val="7FC7240B"/>
  </w:rsid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qFormat="1" w:unhideWhenUsed="0" w:uiPriority="0" w:semiHidden="0"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paragraph" w:styleId="3">
    <w:name w:val="heading 3"/>
    <w:basedOn w:val="1"/>
    <w:next w:val="1"/>
    <w:link w:val="17"/>
    <w:qFormat/>
    <w:uiPriority w:val="0"/>
    <w:pPr>
      <w:tabs>
        <w:tab w:val="left" w:pos="720"/>
      </w:tabs>
      <w:autoSpaceDE w:val="0"/>
      <w:autoSpaceDN w:val="0"/>
      <w:adjustRightInd w:val="0"/>
      <w:spacing w:before="120"/>
      <w:textAlignment w:val="baseline"/>
      <w:outlineLvl w:val="2"/>
    </w:pPr>
    <w:rPr>
      <w:rFonts w:ascii="宋体" w:hAnsi="Tms Rmn" w:eastAsia="宋体" w:cs="Times New Roman"/>
      <w:b/>
      <w:kern w:val="0"/>
      <w:sz w:val="24"/>
      <w:szCs w:val="20"/>
    </w:rPr>
  </w:style>
  <w:style w:type="character" w:default="1" w:styleId="10">
    <w:name w:val="Default Paragraph Font"/>
    <w:unhideWhenUsed/>
    <w:qFormat/>
    <w:uiPriority w:val="1"/>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4">
    <w:name w:val="toa heading"/>
    <w:basedOn w:val="1"/>
    <w:next w:val="1"/>
    <w:qFormat/>
    <w:uiPriority w:val="0"/>
    <w:pPr>
      <w:spacing w:before="120"/>
    </w:pPr>
    <w:rPr>
      <w:rFonts w:ascii="Arial" w:hAnsi="Arial"/>
      <w:sz w:val="24"/>
    </w:rPr>
  </w:style>
  <w:style w:type="paragraph" w:styleId="5">
    <w:name w:val="Date"/>
    <w:basedOn w:val="1"/>
    <w:next w:val="1"/>
    <w:link w:val="16"/>
    <w:unhideWhenUsed/>
    <w:qFormat/>
    <w:uiPriority w:val="99"/>
    <w:pPr>
      <w:ind w:left="100" w:leftChars="2500"/>
    </w:pPr>
  </w:style>
  <w:style w:type="paragraph" w:styleId="6">
    <w:name w:val="footer"/>
    <w:basedOn w:val="1"/>
    <w:link w:val="18"/>
    <w:unhideWhenUsed/>
    <w:qFormat/>
    <w:uiPriority w:val="99"/>
    <w:pPr>
      <w:tabs>
        <w:tab w:val="center" w:pos="4153"/>
        <w:tab w:val="right" w:pos="8306"/>
      </w:tabs>
      <w:snapToGrid w:val="0"/>
      <w:jc w:val="left"/>
    </w:pPr>
    <w:rPr>
      <w:sz w:val="18"/>
    </w:rPr>
  </w:style>
  <w:style w:type="paragraph" w:styleId="7">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toc 1"/>
    <w:basedOn w:val="1"/>
    <w:next w:val="1"/>
    <w:qFormat/>
    <w:uiPriority w:val="39"/>
    <w:pPr>
      <w:widowControl w:val="0"/>
      <w:tabs>
        <w:tab w:val="right" w:leader="dot" w:pos="8302"/>
      </w:tabs>
      <w:spacing w:after="0" w:line="360" w:lineRule="exact"/>
      <w:ind w:firstLine="0" w:firstLineChars="0"/>
      <w:jc w:val="center"/>
    </w:pPr>
    <w:rPr>
      <w:rFonts w:ascii="宋体" w:hAnsi="宋体" w:eastAsia="宋体"/>
      <w:b/>
      <w:color w:val="000000"/>
      <w:kern w:val="2"/>
    </w:rPr>
  </w:style>
  <w:style w:type="paragraph" w:styleId="9">
    <w:name w:val="Normal (Web)"/>
    <w:basedOn w:val="1"/>
    <w:qFormat/>
    <w:uiPriority w:val="0"/>
    <w:pPr>
      <w:spacing w:before="100" w:beforeAutospacing="1" w:after="100" w:afterAutospacing="1"/>
      <w:jc w:val="left"/>
    </w:pPr>
    <w:rPr>
      <w:rFonts w:ascii="Calibri" w:hAnsi="Calibri" w:eastAsia="宋体" w:cs="Times New Roman"/>
      <w:kern w:val="0"/>
      <w:sz w:val="24"/>
    </w:rPr>
  </w:style>
  <w:style w:type="table" w:styleId="12">
    <w:name w:val="Table Grid"/>
    <w:basedOn w:val="11"/>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3">
    <w:name w:val="海南化工城正文"/>
    <w:basedOn w:val="14"/>
    <w:qFormat/>
    <w:uiPriority w:val="0"/>
    <w:pPr>
      <w:ind w:firstLine="480"/>
    </w:pPr>
    <w:rPr>
      <w:sz w:val="24"/>
    </w:rPr>
  </w:style>
  <w:style w:type="paragraph" w:customStyle="1" w:styleId="14">
    <w:name w:val="样式 电镀正文 + 首行缩进:  2 字符"/>
    <w:basedOn w:val="15"/>
    <w:qFormat/>
    <w:uiPriority w:val="0"/>
    <w:pPr>
      <w:spacing w:line="324" w:lineRule="auto"/>
    </w:pPr>
    <w:rPr>
      <w:rFonts w:cs="宋体"/>
      <w:szCs w:val="20"/>
    </w:rPr>
  </w:style>
  <w:style w:type="paragraph" w:customStyle="1" w:styleId="15">
    <w:name w:val="电镀正文"/>
    <w:basedOn w:val="2"/>
    <w:qFormat/>
    <w:uiPriority w:val="0"/>
    <w:pPr>
      <w:spacing w:line="400" w:lineRule="exact"/>
      <w:ind w:firstLine="200"/>
    </w:pPr>
    <w:rPr>
      <w:rFonts w:ascii="宋体" w:hAnsi="宋体"/>
    </w:rPr>
  </w:style>
  <w:style w:type="character" w:customStyle="1" w:styleId="16">
    <w:name w:val="日期 Char"/>
    <w:basedOn w:val="10"/>
    <w:link w:val="5"/>
    <w:semiHidden/>
    <w:qFormat/>
    <w:uiPriority w:val="99"/>
  </w:style>
  <w:style w:type="character" w:customStyle="1" w:styleId="17">
    <w:name w:val="标题 3 Char"/>
    <w:basedOn w:val="10"/>
    <w:link w:val="3"/>
    <w:qFormat/>
    <w:uiPriority w:val="0"/>
    <w:rPr>
      <w:rFonts w:ascii="宋体" w:hAnsi="Tms Rmn" w:eastAsia="宋体" w:cs="Times New Roman"/>
      <w:b/>
      <w:sz w:val="24"/>
    </w:rPr>
  </w:style>
  <w:style w:type="character" w:customStyle="1" w:styleId="18">
    <w:name w:val="页脚 Char"/>
    <w:basedOn w:val="10"/>
    <w:link w:val="6"/>
    <w:qFormat/>
    <w:uiPriority w:val="99"/>
    <w:rPr>
      <w:kern w:val="2"/>
      <w:sz w:val="18"/>
      <w:szCs w:val="22"/>
    </w:rPr>
  </w:style>
  <w:style w:type="character" w:customStyle="1" w:styleId="19">
    <w:name w:val="font11"/>
    <w:basedOn w:val="10"/>
    <w:qFormat/>
    <w:uiPriority w:val="0"/>
    <w:rPr>
      <w:rFonts w:hint="default" w:ascii="仿宋_GB2312" w:eastAsia="仿宋_GB2312" w:cs="仿宋_GB2312"/>
      <w:color w:val="000000"/>
      <w:sz w:val="20"/>
      <w:szCs w:val="20"/>
      <w:u w:val="none"/>
    </w:rPr>
  </w:style>
  <w:style w:type="character" w:customStyle="1" w:styleId="20">
    <w:name w:val="font31"/>
    <w:basedOn w:val="10"/>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Pages>
  <Words>1560</Words>
  <Characters>1638</Characters>
  <Lines>96</Lines>
  <Paragraphs>27</Paragraphs>
  <ScaleCrop>false</ScaleCrop>
  <LinksUpToDate>false</LinksUpToDate>
  <CharactersWithSpaces>1646</CharactersWithSpaces>
  <Application>WPS Office_10.8.0.5603_F1E327BC-269C-435d-A152-05C5408002CA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2021-04-13T02:59:00Z</dcterms:created>
  <dc:creator>Administrator</dc:creator>
  <cp:lastModifiedBy>Administrator</cp:lastModifiedBy>
  <cp:lastPrinted>2021-05-14T00:33:00Z</cp:lastPrinted>
  <dcterms:modified xsi:type="dcterms:W3CDTF">2025-06-24T07:21:18Z</dcterms:modified>
  <dc:title>保亭黎族苗族自治县财政局</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2052-10.8.0.5603</vt:lpwstr>
  </property>
  <property fmtid="{D5CDD505-2E9C-101B-9397-08002B2CF9AE}" pid="3" name="ICV">
    <vt:lpwstr>F8A55DCE2C3D43CD9941A246C11F2139</vt:lpwstr>
  </property>
</Properties>
</file>