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bidi w:val="0"/>
        <w:adjustRightInd/>
        <w:snapToGrid/>
        <w:spacing w:line="600" w:lineRule="exact"/>
        <w:ind w:right="0"/>
        <w:jc w:val="center"/>
        <w:textAlignment w:val="auto"/>
        <w:rPr>
          <w:rFonts w:hint="eastAsia" w:ascii="仿宋_GB2312" w:hAnsi="仿宋_GB2312" w:eastAsia="仿宋_GB2312" w:cs="仿宋_GB2312"/>
          <w:b/>
          <w:sz w:val="44"/>
          <w:szCs w:val="44"/>
          <w:lang w:eastAsia="zh-CN"/>
        </w:rPr>
      </w:pPr>
      <w:r>
        <w:rPr>
          <w:rFonts w:hint="eastAsia" w:ascii="仿宋_GB2312" w:hAnsi="仿宋_GB2312" w:eastAsia="仿宋_GB2312" w:cs="仿宋_GB2312"/>
          <w:b/>
          <w:sz w:val="44"/>
          <w:szCs w:val="44"/>
          <w:lang w:eastAsia="zh-CN"/>
        </w:rPr>
        <w:t>保亭县茶场片区（陡水河）净水厂及配套</w:t>
      </w:r>
    </w:p>
    <w:p>
      <w:pPr>
        <w:keepNext w:val="0"/>
        <w:keepLines w:val="0"/>
        <w:pageBreakBefore w:val="0"/>
        <w:widowControl w:val="0"/>
        <w:kinsoku/>
        <w:wordWrap/>
        <w:overflowPunct/>
        <w:topLinePunct w:val="0"/>
        <w:autoSpaceDE/>
        <w:bidi w:val="0"/>
        <w:adjustRightInd/>
        <w:snapToGrid/>
        <w:spacing w:line="600" w:lineRule="exact"/>
        <w:ind w:right="0"/>
        <w:jc w:val="center"/>
        <w:textAlignment w:val="auto"/>
        <w:rPr>
          <w:rFonts w:hint="eastAsia" w:ascii="仿宋_GB2312" w:hAnsi="仿宋_GB2312" w:eastAsia="仿宋_GB2312" w:cs="仿宋_GB2312"/>
          <w:b/>
          <w:sz w:val="44"/>
          <w:szCs w:val="44"/>
        </w:rPr>
      </w:pPr>
      <w:r>
        <w:rPr>
          <w:rFonts w:hint="eastAsia" w:ascii="仿宋_GB2312" w:hAnsi="仿宋_GB2312" w:eastAsia="仿宋_GB2312" w:cs="仿宋_GB2312"/>
          <w:b/>
          <w:sz w:val="44"/>
          <w:szCs w:val="44"/>
          <w:lang w:eastAsia="zh-CN"/>
        </w:rPr>
        <w:t>管网工程</w:t>
      </w:r>
      <w:r>
        <w:rPr>
          <w:rFonts w:hint="eastAsia" w:ascii="仿宋_GB2312" w:hAnsi="仿宋_GB2312" w:eastAsia="仿宋_GB2312" w:cs="仿宋_GB2312"/>
          <w:b/>
          <w:sz w:val="44"/>
          <w:szCs w:val="44"/>
        </w:rPr>
        <w:t>绩效</w:t>
      </w:r>
      <w:r>
        <w:rPr>
          <w:rFonts w:hint="eastAsia" w:ascii="仿宋_GB2312" w:hAnsi="仿宋_GB2312" w:eastAsia="仿宋_GB2312" w:cs="仿宋_GB2312"/>
          <w:b/>
          <w:sz w:val="44"/>
          <w:szCs w:val="44"/>
          <w:lang w:eastAsia="zh-CN"/>
        </w:rPr>
        <w:t>自评</w:t>
      </w:r>
      <w:r>
        <w:rPr>
          <w:rFonts w:hint="eastAsia" w:ascii="仿宋_GB2312" w:hAnsi="仿宋_GB2312" w:eastAsia="仿宋_GB2312" w:cs="仿宋_GB2312"/>
          <w:b/>
          <w:sz w:val="44"/>
          <w:szCs w:val="44"/>
        </w:rPr>
        <w:t>报告</w:t>
      </w:r>
    </w:p>
    <w:p>
      <w:pPr>
        <w:keepNext w:val="0"/>
        <w:keepLines w:val="0"/>
        <w:pageBreakBefore w:val="0"/>
        <w:widowControl w:val="0"/>
        <w:kinsoku/>
        <w:wordWrap/>
        <w:overflowPunct/>
        <w:topLinePunct w:val="0"/>
        <w:autoSpaceDE/>
        <w:bidi w:val="0"/>
        <w:adjustRightInd/>
        <w:snapToGrid/>
        <w:spacing w:line="600" w:lineRule="exact"/>
        <w:ind w:left="0" w:leftChars="0" w:right="0" w:firstLine="800" w:firstLineChars="249"/>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一、项目概况</w:t>
      </w:r>
    </w:p>
    <w:p>
      <w:pPr>
        <w:keepNext w:val="0"/>
        <w:keepLines w:val="0"/>
        <w:pageBreakBefore w:val="0"/>
        <w:widowControl w:val="0"/>
        <w:kinsoku/>
        <w:wordWrap/>
        <w:overflowPunct/>
        <w:topLinePunct w:val="0"/>
        <w:autoSpaceDE/>
        <w:bidi w:val="0"/>
        <w:adjustRightInd/>
        <w:snapToGrid/>
        <w:spacing w:line="600" w:lineRule="exact"/>
        <w:ind w:left="0" w:leftChars="0" w:right="0"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（一）项目单位基本情况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保亭县水务服务中心的基本职责是落实有关水务、水利工作方面的方针政策、法律法规，管理全县水资源，落实水土保持工作，水利工程移民建设，水务设施管护，对全县蓄水、供排水、病险水库加固等水务设施的建设和管护，并承担水务项目法人职责，做好项目建设跟踪服务工作，协调解决项目建设存在的问题。</w:t>
      </w:r>
    </w:p>
    <w:p>
      <w:pPr>
        <w:keepNext w:val="0"/>
        <w:keepLines w:val="0"/>
        <w:pageBreakBefore w:val="0"/>
        <w:widowControl w:val="0"/>
        <w:numPr>
          <w:ilvl w:val="0"/>
          <w:numId w:val="1"/>
        </w:numPr>
        <w:kinsoku/>
        <w:wordWrap/>
        <w:overflowPunct/>
        <w:topLinePunct w:val="0"/>
        <w:autoSpaceDE/>
        <w:bidi w:val="0"/>
        <w:adjustRightInd/>
        <w:snapToGrid/>
        <w:spacing w:line="600" w:lineRule="exact"/>
        <w:ind w:left="0" w:leftChars="0" w:right="0"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项目基本性质，用途和主要内容、涉及范围</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为改善茶场居供水能力，项目新建净水厂</w:t>
      </w:r>
      <w:r>
        <w:rPr>
          <w:rFonts w:hint="eastAsia" w:ascii="仿宋_GB2312" w:hAnsi="仿宋_GB2312" w:eastAsia="仿宋_GB2312" w:cs="仿宋_GB2312"/>
          <w:sz w:val="32"/>
          <w:szCs w:val="32"/>
          <w:lang w:val="en-US" w:eastAsia="zh-CN"/>
        </w:rPr>
        <w:t>1座，以及输水管道、配水管道、村内管道及入户管道工程。供水范围包括茶场居中心及7个连队、陡水河村委会2个自然村和毛岸村委会5个自然村，服务范围共1961户。</w:t>
      </w:r>
    </w:p>
    <w:p>
      <w:pPr>
        <w:keepNext w:val="0"/>
        <w:keepLines w:val="0"/>
        <w:pageBreakBefore w:val="0"/>
        <w:widowControl w:val="0"/>
        <w:kinsoku/>
        <w:wordWrap/>
        <w:overflowPunct/>
        <w:topLinePunct w:val="0"/>
        <w:autoSpaceDE/>
        <w:bidi w:val="0"/>
        <w:adjustRightInd/>
        <w:snapToGrid/>
        <w:spacing w:line="600" w:lineRule="exact"/>
        <w:ind w:left="0" w:leftChars="0" w:right="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二、项目资金使用及管理情况</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（一）项目资金</w:t>
      </w:r>
      <w:r>
        <w:rPr>
          <w:rFonts w:hint="eastAsia" w:ascii="仿宋_GB2312" w:hAnsi="仿宋_GB2312" w:eastAsia="仿宋_GB2312" w:cs="仿宋_GB2312"/>
          <w:sz w:val="32"/>
          <w:szCs w:val="32"/>
          <w:lang w:eastAsia="zh-CN"/>
        </w:rPr>
        <w:t>到位</w:t>
      </w:r>
      <w:r>
        <w:rPr>
          <w:rFonts w:hint="eastAsia" w:ascii="仿宋_GB2312" w:hAnsi="仿宋_GB2312" w:eastAsia="仿宋_GB2312" w:cs="仿宋_GB2312"/>
          <w:sz w:val="32"/>
          <w:szCs w:val="32"/>
        </w:rPr>
        <w:t>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保亭县财政局《关于下达2024年省级转贷我县新增地债资金（第一批）的通知》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保财预</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号），下达保亭县茶场片区（陡水河）净水厂及配套管网工程专项债资金</w:t>
      </w:r>
      <w:r>
        <w:rPr>
          <w:rFonts w:hint="eastAsia" w:ascii="仿宋_GB2312" w:hAnsi="仿宋_GB2312" w:eastAsia="仿宋_GB2312" w:cs="仿宋_GB2312"/>
          <w:sz w:val="32"/>
          <w:szCs w:val="32"/>
          <w:lang w:val="en-US" w:eastAsia="zh-CN"/>
        </w:rPr>
        <w:t>1000万元。</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（二）项目资金使用情况分析。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lang w:eastAsia="zh-CN"/>
        </w:rPr>
      </w:pPr>
      <w:r>
        <w:rPr>
          <w:rFonts w:hint="eastAsia" w:ascii="仿宋_GB2312" w:hAnsi="仿宋_GB2312" w:eastAsia="仿宋_GB2312" w:cs="仿宋_GB2312"/>
          <w:sz w:val="32"/>
          <w:szCs w:val="32"/>
        </w:rPr>
        <w:t>截止到20</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年12月31日，</w:t>
      </w:r>
      <w:r>
        <w:rPr>
          <w:rFonts w:hint="eastAsia" w:ascii="仿宋_GB2312" w:hAnsi="仿宋_GB2312" w:eastAsia="仿宋_GB2312" w:cs="仿宋_GB2312"/>
          <w:sz w:val="32"/>
          <w:szCs w:val="32"/>
          <w:lang w:eastAsia="zh-CN"/>
        </w:rPr>
        <w:t>保亭县茶场片区（陡水河）净水厂及配套管网工程到位资金</w:t>
      </w:r>
      <w:r>
        <w:rPr>
          <w:rFonts w:hint="eastAsia" w:ascii="仿宋_GB2312" w:hAnsi="仿宋_GB2312" w:eastAsia="仿宋_GB2312" w:cs="仿宋_GB2312"/>
          <w:sz w:val="32"/>
          <w:szCs w:val="32"/>
          <w:lang w:val="en-US" w:eastAsia="zh-CN"/>
        </w:rPr>
        <w:t>1000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实际执行数为</w:t>
      </w:r>
      <w:r>
        <w:rPr>
          <w:rFonts w:hint="eastAsia" w:ascii="仿宋_GB2312" w:hAnsi="仿宋_GB2312" w:eastAsia="仿宋_GB2312" w:cs="仿宋_GB2312"/>
          <w:sz w:val="32"/>
          <w:szCs w:val="32"/>
          <w:lang w:val="en-US" w:eastAsia="zh-CN"/>
        </w:rPr>
        <w:t>1000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highlight w:val="none"/>
          <w:lang w:val="en-US" w:eastAsia="zh-CN"/>
        </w:rPr>
        <w:t>预算执行率为100%。</w:t>
      </w:r>
    </w:p>
    <w:p>
      <w:pPr>
        <w:keepNext w:val="0"/>
        <w:keepLines w:val="0"/>
        <w:pageBreakBefore w:val="0"/>
        <w:widowControl w:val="0"/>
        <w:kinsoku/>
        <w:wordWrap/>
        <w:overflowPunct/>
        <w:topLinePunct w:val="0"/>
        <w:autoSpaceDE/>
        <w:bidi w:val="0"/>
        <w:adjustRightInd/>
        <w:snapToGrid/>
        <w:spacing w:line="600" w:lineRule="exact"/>
        <w:ind w:right="0"/>
        <w:textAlignment w:val="auto"/>
        <w:outlineLvl w:val="0"/>
        <w:rPr>
          <w:rFonts w:hint="eastAsia" w:ascii="仿宋_GB2312" w:hAnsi="仿宋_GB2312" w:eastAsia="仿宋_GB2312" w:cs="仿宋_GB2312"/>
          <w:bCs/>
          <w:color w:val="000000"/>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）项目资金管理情况</w:t>
      </w:r>
      <w:r>
        <w:rPr>
          <w:rFonts w:hint="eastAsia" w:ascii="仿宋_GB2312" w:hAnsi="仿宋_GB2312" w:eastAsia="仿宋_GB2312" w:cs="仿宋_GB2312"/>
          <w:bCs/>
          <w:color w:val="000000"/>
          <w:sz w:val="32"/>
          <w:szCs w:val="32"/>
        </w:rPr>
        <w:t>分析。</w:t>
      </w:r>
    </w:p>
    <w:p>
      <w:pPr>
        <w:keepNext w:val="0"/>
        <w:keepLines w:val="0"/>
        <w:pageBreakBefore w:val="0"/>
        <w:kinsoku/>
        <w:wordWrap/>
        <w:overflowPunct/>
        <w:topLinePunct w:val="0"/>
        <w:autoSpaceDE/>
        <w:autoSpaceDN/>
        <w:bidi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rPr>
        <w:t>项目申请的专项债券额度与项目建设的实际需要相匹配；项目成本和预期收益的测算有相应的依据</w:t>
      </w:r>
      <w:r>
        <w:rPr>
          <w:rFonts w:hint="eastAsia" w:ascii="仿宋_GB2312" w:hAnsi="仿宋_GB2312" w:eastAsia="仿宋_GB2312" w:cs="仿宋_GB2312"/>
          <w:sz w:val="32"/>
          <w:szCs w:val="32"/>
          <w:highlight w:val="none"/>
          <w:lang w:eastAsia="zh-CN"/>
        </w:rPr>
        <w:t>，项目各年度收支平衡，能够实现偿本付息，</w:t>
      </w:r>
      <w:r>
        <w:rPr>
          <w:rFonts w:hint="eastAsia" w:ascii="仿宋_GB2312" w:hAnsi="仿宋_GB2312" w:eastAsia="仿宋_GB2312" w:cs="仿宋_GB2312"/>
          <w:sz w:val="32"/>
          <w:szCs w:val="32"/>
          <w:highlight w:val="none"/>
          <w:lang w:val="en-US" w:eastAsia="zh-CN"/>
        </w:rPr>
        <w:t>并纳入政府性基金预算管理</w:t>
      </w:r>
      <w:r>
        <w:rPr>
          <w:rFonts w:hint="eastAsia" w:ascii="仿宋_GB2312" w:hAnsi="仿宋_GB2312" w:eastAsia="仿宋_GB2312" w:cs="仿宋_GB2312"/>
          <w:sz w:val="32"/>
          <w:szCs w:val="32"/>
          <w:highlight w:val="none"/>
        </w:rPr>
        <w:t>；专项债券期限与项目建设和运营期限</w:t>
      </w:r>
      <w:r>
        <w:rPr>
          <w:rFonts w:hint="eastAsia" w:ascii="仿宋_GB2312" w:hAnsi="仿宋_GB2312" w:eastAsia="仿宋_GB2312" w:cs="仿宋_GB2312"/>
          <w:sz w:val="32"/>
          <w:szCs w:val="32"/>
          <w:highlight w:val="none"/>
          <w:lang w:val="en-US" w:eastAsia="zh-CN"/>
        </w:rPr>
        <w:t>相</w:t>
      </w:r>
      <w:r>
        <w:rPr>
          <w:rFonts w:hint="eastAsia" w:ascii="仿宋_GB2312" w:hAnsi="仿宋_GB2312" w:eastAsia="仿宋_GB2312" w:cs="仿宋_GB2312"/>
          <w:sz w:val="32"/>
          <w:szCs w:val="32"/>
          <w:highlight w:val="none"/>
        </w:rPr>
        <w:t>匹配；</w:t>
      </w:r>
      <w:r>
        <w:rPr>
          <w:rFonts w:hint="eastAsia" w:ascii="仿宋_GB2312" w:hAnsi="仿宋_GB2312" w:eastAsia="仿宋_GB2312" w:cs="仿宋_GB2312"/>
          <w:sz w:val="32"/>
          <w:szCs w:val="32"/>
          <w:highlight w:val="none"/>
          <w:lang w:val="en-US" w:eastAsia="zh-CN"/>
        </w:rPr>
        <w:t>专项债券资金到位及时；项目实施单位具有相应的财务、业务管理制度，合法、合规、完整；项目按照政府信息公开将地方政府专项债券项目的有关信息在“中国地方政府债券信息公开平台”上进行公开；项目招标和采购的程序及手续符合相关法律法规规定，合同签订规范</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bidi w:val="0"/>
        <w:adjustRightInd/>
        <w:snapToGrid/>
        <w:spacing w:line="600" w:lineRule="exact"/>
        <w:ind w:left="0" w:leftChars="0" w:right="0" w:firstLine="800" w:firstLineChars="249"/>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三、项目组织实施情况</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（一）项目组织情况分析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outlineLvl w:val="0"/>
        <w:rPr>
          <w:rFonts w:hint="eastAsia" w:ascii="仿宋_GB2312" w:hAnsi="仿宋_GB2312" w:eastAsia="仿宋_GB2312" w:cs="仿宋_GB2312"/>
          <w:bCs/>
          <w:color w:val="000000"/>
          <w:sz w:val="32"/>
          <w:szCs w:val="32"/>
        </w:rPr>
      </w:pPr>
      <w:r>
        <w:rPr>
          <w:rFonts w:hint="eastAsia" w:ascii="仿宋_GB2312" w:hAnsi="仿宋_GB2312" w:eastAsia="仿宋_GB2312" w:cs="仿宋_GB2312"/>
          <w:sz w:val="32"/>
          <w:szCs w:val="32"/>
          <w:lang w:eastAsia="zh-CN"/>
        </w:rPr>
        <w:t>保亭县茶场片区（陡水河）净水厂及配套管网工程，经县政府批准同意由县城投公司任项目法人负责组织实施。项目经公开招投标招聘施工单位，</w:t>
      </w:r>
      <w:r>
        <w:rPr>
          <w:rFonts w:hint="eastAsia" w:ascii="仿宋_GB2312" w:hAnsi="仿宋_GB2312" w:eastAsia="仿宋_GB2312" w:cs="仿宋_GB2312"/>
          <w:bCs/>
          <w:color w:val="000000"/>
          <w:sz w:val="32"/>
          <w:szCs w:val="32"/>
        </w:rPr>
        <w:t xml:space="preserve">严格按照制定的管理制度以及财务制度来执行和落实。 </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（二）项目管理情况分析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为使项目的管理更加规范，支出更加高效，根据我中心的业务工作规划和财务管理制度，对整个项目进行统筹安排及组织实施，确保项目按计划顺利开展。</w:t>
      </w:r>
    </w:p>
    <w:p>
      <w:pPr>
        <w:keepNext w:val="0"/>
        <w:keepLines w:val="0"/>
        <w:pageBreakBefore w:val="0"/>
        <w:widowControl w:val="0"/>
        <w:kinsoku/>
        <w:wordWrap/>
        <w:overflowPunct/>
        <w:topLinePunct w:val="0"/>
        <w:autoSpaceDE/>
        <w:bidi w:val="0"/>
        <w:adjustRightInd/>
        <w:snapToGrid/>
        <w:spacing w:line="600" w:lineRule="exact"/>
        <w:ind w:left="0" w:leftChars="0" w:right="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四、项目绩效情况</w:t>
      </w:r>
    </w:p>
    <w:p>
      <w:pPr>
        <w:keepNext w:val="0"/>
        <w:keepLines w:val="0"/>
        <w:pageBreakBefore w:val="0"/>
        <w:widowControl w:val="0"/>
        <w:kinsoku/>
        <w:wordWrap/>
        <w:overflowPunct/>
        <w:topLinePunct w:val="0"/>
        <w:autoSpaceDE/>
        <w:bidi w:val="0"/>
        <w:adjustRightInd/>
        <w:snapToGrid/>
        <w:spacing w:line="600" w:lineRule="exact"/>
        <w:ind w:left="0" w:leftChars="0" w:right="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w:t>
      </w:r>
      <w:r>
        <w:rPr>
          <w:rFonts w:hint="eastAsia" w:ascii="仿宋_GB2312" w:hAnsi="仿宋_GB2312" w:eastAsia="仿宋_GB2312" w:cs="仿宋_GB2312"/>
          <w:sz w:val="32"/>
          <w:szCs w:val="32"/>
        </w:rPr>
        <w:t>项目绩效目标完成情况分析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1、项目的经济性分析。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（1）项目成本（预算）控制情况</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2024年</w:t>
      </w:r>
      <w:r>
        <w:rPr>
          <w:rFonts w:hint="eastAsia" w:ascii="仿宋_GB2312" w:hAnsi="仿宋_GB2312" w:eastAsia="仿宋_GB2312" w:cs="仿宋_GB2312"/>
          <w:sz w:val="32"/>
          <w:szCs w:val="32"/>
        </w:rPr>
        <w:t>本项目预算投资</w:t>
      </w:r>
      <w:r>
        <w:rPr>
          <w:rFonts w:hint="eastAsia" w:ascii="仿宋_GB2312" w:hAnsi="仿宋_GB2312" w:eastAsia="仿宋_GB2312" w:cs="仿宋_GB2312"/>
          <w:sz w:val="32"/>
          <w:szCs w:val="32"/>
          <w:lang w:val="en-US" w:eastAsia="zh-CN"/>
        </w:rPr>
        <w:t>1000</w:t>
      </w:r>
      <w:r>
        <w:rPr>
          <w:rFonts w:hint="eastAsia" w:ascii="仿宋_GB2312" w:hAnsi="仿宋_GB2312" w:eastAsia="仿宋_GB2312" w:cs="仿宋_GB2312"/>
          <w:sz w:val="32"/>
          <w:szCs w:val="32"/>
        </w:rPr>
        <w:t>万元，用于</w:t>
      </w:r>
      <w:r>
        <w:rPr>
          <w:rFonts w:hint="eastAsia" w:ascii="仿宋_GB2312" w:hAnsi="仿宋_GB2312" w:eastAsia="仿宋_GB2312" w:cs="仿宋_GB2312"/>
          <w:sz w:val="32"/>
          <w:szCs w:val="32"/>
          <w:lang w:eastAsia="zh-CN"/>
        </w:rPr>
        <w:t>保亭县茶场片区（陡水河）净水厂及配套管网工程</w:t>
      </w:r>
      <w:r>
        <w:rPr>
          <w:rFonts w:hint="eastAsia" w:ascii="仿宋_GB2312" w:hAnsi="仿宋_GB2312" w:eastAsia="仿宋_GB2312" w:cs="仿宋_GB2312"/>
          <w:sz w:val="32"/>
          <w:szCs w:val="32"/>
        </w:rPr>
        <w:t>。项目经费根据相关资金管理办法</w:t>
      </w:r>
      <w:r>
        <w:rPr>
          <w:rFonts w:hint="eastAsia" w:ascii="仿宋_GB2312" w:hAnsi="仿宋_GB2312" w:eastAsia="仿宋_GB2312" w:cs="仿宋_GB2312"/>
          <w:sz w:val="32"/>
          <w:szCs w:val="32"/>
          <w:lang w:eastAsia="zh-CN"/>
        </w:rPr>
        <w:t>和实际建设内容</w:t>
      </w:r>
      <w:r>
        <w:rPr>
          <w:rFonts w:hint="eastAsia" w:ascii="仿宋_GB2312" w:hAnsi="仿宋_GB2312" w:eastAsia="仿宋_GB2312" w:cs="仿宋_GB2312"/>
          <w:sz w:val="32"/>
          <w:szCs w:val="32"/>
        </w:rPr>
        <w:t>严格控制经费使用，项目</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lang w:val="en-US" w:eastAsia="zh-CN"/>
        </w:rPr>
        <w:t>1000</w:t>
      </w:r>
      <w:r>
        <w:rPr>
          <w:rFonts w:hint="eastAsia" w:ascii="仿宋_GB2312" w:hAnsi="仿宋_GB2312" w:eastAsia="仿宋_GB2312" w:cs="仿宋_GB2312"/>
          <w:sz w:val="32"/>
          <w:szCs w:val="32"/>
        </w:rPr>
        <w:t>万元，符合项目预算规定，</w:t>
      </w:r>
      <w:r>
        <w:rPr>
          <w:rFonts w:hint="eastAsia" w:ascii="仿宋_GB2312" w:hAnsi="仿宋_GB2312" w:eastAsia="仿宋_GB2312" w:cs="仿宋_GB2312"/>
          <w:sz w:val="32"/>
          <w:szCs w:val="32"/>
          <w:lang w:eastAsia="zh-CN"/>
        </w:rPr>
        <w:t>无重复开支、乱开支、</w:t>
      </w:r>
      <w:r>
        <w:rPr>
          <w:rFonts w:hint="eastAsia" w:ascii="仿宋_GB2312" w:hAnsi="仿宋_GB2312" w:eastAsia="仿宋_GB2312" w:cs="仿宋_GB2312"/>
          <w:sz w:val="32"/>
          <w:szCs w:val="32"/>
        </w:rPr>
        <w:t>超支与挪用现象。</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（2）项目成本（预算）节约情况</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根据项目内容确定，严格项目开支管理，严格控制经费使用，无重复开支和乱开支现象，项目</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lang w:val="en-US" w:eastAsia="zh-CN"/>
        </w:rPr>
        <w:t>1000</w:t>
      </w:r>
      <w:r>
        <w:rPr>
          <w:rFonts w:hint="eastAsia" w:ascii="仿宋_GB2312" w:hAnsi="仿宋_GB2312" w:eastAsia="仿宋_GB2312" w:cs="仿宋_GB2312"/>
          <w:sz w:val="32"/>
          <w:szCs w:val="32"/>
        </w:rPr>
        <w:t>万元，符合项目预算规定，没有超支与挪用现象。</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2、项目的效率性分析。</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（1）项目的实施进度</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sz w:val="32"/>
          <w:szCs w:val="32"/>
          <w:highlight w:val="none"/>
          <w:lang w:val="en-US" w:eastAsia="zh-CN"/>
        </w:rPr>
        <w:t>项目于2023年1月完成招标并进场施工，截至2024年12月完成工程项目进度为100%，</w:t>
      </w:r>
      <w:r>
        <w:rPr>
          <w:rFonts w:hint="eastAsia" w:ascii="仿宋_GB2312" w:hAnsi="仿宋_GB2312" w:eastAsia="仿宋_GB2312" w:cs="仿宋_GB2312"/>
          <w:sz w:val="32"/>
          <w:szCs w:val="32"/>
          <w:lang w:eastAsia="zh-CN"/>
        </w:rPr>
        <w:t>项目经费按计划合理合法规范支出，做到不拖欠也不延期，开支途径顺畅，确保项目顺利实施。</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（2）项目完成质量</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制定现场施工质量安全条例，施工方需在取得施工许可证以及开工令后方可进场施工。在分项验收过程中需经现场监理工程师批准和县质检站同意后方可进行下一道工序，同时现场监理也会不定期抽查现场工艺，发现质量及安全生产隐患问题都会及时出具整改通知书，勒令施工方严格落实整改，情节严重则开具罚款单，直至整改完成，确保做到安全施工、文明施工。</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3、项目的效益性分析。</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（1）项目预期目标完成程度</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该项目按照方案有计划、有步骤稳妥实施，已全部完成工作任务，达到预期目的。</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（2）项目实施对经济和社会的影响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该项目建设解决了百姓的饮水安全问题，使农村与水有关的疾病发病率大幅度降低，特别是降低了由于水质问题引发传染病的可能性创造了良好社会环境。</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4、项目的可持续性分析。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加强后期管护，保持农村饮水安全的可持续发展，促进地区经济、社会、自然、文化稳定、协调和可持续发展。</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5、项目预算批复的绩效指标完成情况分析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1、产出指标：</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在规定的时间完成工作，绩效标准达到“</w:t>
      </w:r>
      <w:r>
        <w:rPr>
          <w:rFonts w:hint="eastAsia" w:ascii="仿宋_GB2312" w:hAnsi="仿宋_GB2312" w:eastAsia="仿宋_GB2312" w:cs="仿宋_GB2312"/>
          <w:bCs/>
          <w:sz w:val="32"/>
          <w:szCs w:val="32"/>
          <w:lang w:eastAsia="zh-CN"/>
        </w:rPr>
        <w:t>中</w:t>
      </w:r>
      <w:r>
        <w:rPr>
          <w:rFonts w:hint="eastAsia" w:ascii="仿宋_GB2312" w:hAnsi="仿宋_GB2312" w:eastAsia="仿宋_GB2312" w:cs="仿宋_GB2312"/>
          <w:bCs/>
          <w:sz w:val="32"/>
          <w:szCs w:val="32"/>
        </w:rPr>
        <w:t>”。</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2、成效指标：</w:t>
      </w:r>
    </w:p>
    <w:p>
      <w:pPr>
        <w:keepNext w:val="0"/>
        <w:keepLines w:val="0"/>
        <w:pageBreakBefore w:val="0"/>
        <w:widowControl w:val="0"/>
        <w:kinsoku/>
        <w:wordWrap/>
        <w:overflowPunct/>
        <w:topLinePunct w:val="0"/>
        <w:autoSpaceDE/>
        <w:bidi w:val="0"/>
        <w:adjustRightInd/>
        <w:snapToGrid/>
        <w:spacing w:line="600" w:lineRule="exact"/>
        <w:ind w:left="0" w:leftChars="0" w:right="0" w:firstLine="320" w:firstLineChars="1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 w:val="0"/>
          <w:bCs/>
          <w:sz w:val="32"/>
          <w:szCs w:val="32"/>
        </w:rPr>
        <w:t>（1）</w:t>
      </w:r>
      <w:r>
        <w:rPr>
          <w:rFonts w:hint="eastAsia" w:ascii="仿宋_GB2312" w:hAnsi="仿宋_GB2312" w:eastAsia="仿宋_GB2312" w:cs="仿宋_GB2312"/>
          <w:bCs/>
          <w:color w:val="000000"/>
          <w:kern w:val="0"/>
          <w:sz w:val="32"/>
          <w:szCs w:val="32"/>
          <w:lang w:eastAsia="zh-CN"/>
        </w:rPr>
        <w:t>完成工程建设任务</w:t>
      </w:r>
      <w:r>
        <w:rPr>
          <w:rFonts w:hint="eastAsia" w:ascii="仿宋_GB2312" w:hAnsi="仿宋_GB2312" w:eastAsia="仿宋_GB2312" w:cs="仿宋_GB2312"/>
          <w:bCs/>
          <w:sz w:val="32"/>
          <w:szCs w:val="32"/>
        </w:rPr>
        <w:t>率100%，绩效标准达到“</w:t>
      </w:r>
      <w:r>
        <w:rPr>
          <w:rFonts w:hint="eastAsia" w:ascii="仿宋_GB2312" w:hAnsi="仿宋_GB2312" w:eastAsia="仿宋_GB2312" w:cs="仿宋_GB2312"/>
          <w:bCs/>
          <w:sz w:val="32"/>
          <w:szCs w:val="32"/>
          <w:lang w:eastAsia="zh-CN"/>
        </w:rPr>
        <w:t>良</w:t>
      </w:r>
      <w:r>
        <w:rPr>
          <w:rFonts w:hint="eastAsia" w:ascii="仿宋_GB2312" w:hAnsi="仿宋_GB2312" w:eastAsia="仿宋_GB2312" w:cs="仿宋_GB2312"/>
          <w:bCs/>
          <w:sz w:val="32"/>
          <w:szCs w:val="32"/>
        </w:rPr>
        <w:t>”。</w:t>
      </w:r>
    </w:p>
    <w:p>
      <w:pPr>
        <w:keepNext w:val="0"/>
        <w:keepLines w:val="0"/>
        <w:pageBreakBefore w:val="0"/>
        <w:widowControl w:val="0"/>
        <w:kinsoku/>
        <w:wordWrap/>
        <w:overflowPunct/>
        <w:topLinePunct w:val="0"/>
        <w:autoSpaceDE/>
        <w:bidi w:val="0"/>
        <w:adjustRightInd/>
        <w:snapToGrid/>
        <w:spacing w:line="600" w:lineRule="exact"/>
        <w:ind w:left="0" w:leftChars="0" w:right="0" w:firstLine="320" w:firstLineChars="1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2</w:t>
      </w:r>
      <w:r>
        <w:rPr>
          <w:rFonts w:hint="eastAsia" w:ascii="仿宋_GB2312" w:hAnsi="仿宋_GB2312" w:eastAsia="仿宋_GB2312" w:cs="仿宋_GB2312"/>
          <w:bCs/>
          <w:sz w:val="32"/>
          <w:szCs w:val="32"/>
        </w:rPr>
        <w:t>）</w:t>
      </w:r>
      <w:r>
        <w:rPr>
          <w:rFonts w:hint="eastAsia" w:ascii="仿宋_GB2312" w:hAnsi="仿宋_GB2312" w:eastAsia="仿宋_GB2312" w:cs="仿宋_GB2312"/>
          <w:bCs/>
          <w:color w:val="000000"/>
          <w:kern w:val="0"/>
          <w:sz w:val="32"/>
          <w:szCs w:val="32"/>
          <w:lang w:eastAsia="zh-CN"/>
        </w:rPr>
        <w:t>服务对象满意度达</w:t>
      </w:r>
      <w:r>
        <w:rPr>
          <w:rFonts w:hint="eastAsia" w:ascii="仿宋_GB2312" w:hAnsi="仿宋_GB2312" w:eastAsia="仿宋_GB2312" w:cs="仿宋_GB2312"/>
          <w:bCs/>
          <w:sz w:val="32"/>
          <w:szCs w:val="32"/>
          <w:lang w:val="en-US" w:eastAsia="zh-CN"/>
        </w:rPr>
        <w:t>90</w:t>
      </w:r>
      <w:r>
        <w:rPr>
          <w:rFonts w:hint="eastAsia" w:ascii="仿宋_GB2312" w:hAnsi="仿宋_GB2312" w:eastAsia="仿宋_GB2312" w:cs="仿宋_GB2312"/>
          <w:bCs/>
          <w:sz w:val="32"/>
          <w:szCs w:val="32"/>
        </w:rPr>
        <w:t>%，绩效标准达到“优”。</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sz w:val="32"/>
          <w:szCs w:val="32"/>
        </w:rPr>
        <w:t>3、效率指标：成本控制不超预算，绩效标准达到“</w:t>
      </w:r>
      <w:r>
        <w:rPr>
          <w:rFonts w:hint="eastAsia" w:ascii="仿宋_GB2312" w:hAnsi="仿宋_GB2312" w:eastAsia="仿宋_GB2312" w:cs="仿宋_GB2312"/>
          <w:bCs/>
          <w:sz w:val="32"/>
          <w:szCs w:val="32"/>
          <w:lang w:eastAsia="zh-CN"/>
        </w:rPr>
        <w:t>优</w:t>
      </w:r>
      <w:r>
        <w:rPr>
          <w:rFonts w:hint="eastAsia" w:ascii="仿宋_GB2312" w:hAnsi="仿宋_GB2312" w:eastAsia="仿宋_GB2312" w:cs="仿宋_GB2312"/>
          <w:bCs/>
          <w:sz w:val="32"/>
          <w:szCs w:val="32"/>
        </w:rPr>
        <w:t>”</w:t>
      </w:r>
      <w:r>
        <w:rPr>
          <w:rFonts w:hint="eastAsia" w:ascii="仿宋_GB2312" w:hAnsi="仿宋_GB2312" w:eastAsia="仿宋_GB2312" w:cs="仿宋_GB2312"/>
          <w:b/>
          <w:bCs/>
          <w:sz w:val="32"/>
          <w:szCs w:val="32"/>
        </w:rPr>
        <w:t>。</w:t>
      </w:r>
    </w:p>
    <w:p>
      <w:pPr>
        <w:keepNext w:val="0"/>
        <w:keepLines w:val="0"/>
        <w:pageBreakBefore w:val="0"/>
        <w:widowControl w:val="0"/>
        <w:tabs>
          <w:tab w:val="left" w:pos="900"/>
          <w:tab w:val="left" w:pos="1080"/>
        </w:tabs>
        <w:kinsoku/>
        <w:wordWrap/>
        <w:overflowPunct/>
        <w:topLinePunct w:val="0"/>
        <w:autoSpaceDE/>
        <w:bidi w:val="0"/>
        <w:adjustRightInd/>
        <w:snapToGrid/>
        <w:spacing w:line="600" w:lineRule="exact"/>
        <w:ind w:left="0" w:leftChars="0" w:right="0" w:firstLine="472" w:firstLineChars="147"/>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五、综合评价情况及评价结论</w:t>
      </w:r>
    </w:p>
    <w:p>
      <w:pPr>
        <w:pStyle w:val="4"/>
        <w:spacing w:line="360" w:lineRule="auto"/>
        <w:ind w:firstLine="688" w:firstLineChars="215"/>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绩效自评总分分值100分，自评得分</w:t>
      </w:r>
      <w:r>
        <w:rPr>
          <w:rFonts w:hint="eastAsia" w:ascii="仿宋_GB2312" w:hAnsi="仿宋_GB2312" w:eastAsia="仿宋_GB2312" w:cs="仿宋_GB2312"/>
          <w:sz w:val="32"/>
          <w:szCs w:val="32"/>
          <w:highlight w:val="none"/>
          <w:lang w:val="en-US" w:eastAsia="zh-CN"/>
        </w:rPr>
        <w:t>92</w:t>
      </w:r>
      <w:r>
        <w:rPr>
          <w:rFonts w:hint="eastAsia" w:ascii="仿宋_GB2312" w:hAnsi="仿宋_GB2312" w:eastAsia="仿宋_GB2312" w:cs="仿宋_GB2312"/>
          <w:sz w:val="32"/>
          <w:szCs w:val="32"/>
          <w:highlight w:val="none"/>
        </w:rPr>
        <w:t>分，评价等级为</w:t>
      </w:r>
      <w:r>
        <w:rPr>
          <w:rFonts w:hint="eastAsia" w:ascii="仿宋_GB2312" w:hAnsi="仿宋_GB2312" w:eastAsia="仿宋_GB2312" w:cs="仿宋_GB2312"/>
          <w:sz w:val="32"/>
          <w:szCs w:val="32"/>
          <w:highlight w:val="none"/>
          <w:lang w:eastAsia="zh-CN"/>
        </w:rPr>
        <w:t>良</w:t>
      </w:r>
      <w:r>
        <w:rPr>
          <w:rFonts w:hint="eastAsia" w:ascii="仿宋_GB2312" w:hAnsi="仿宋_GB2312" w:eastAsia="仿宋_GB2312" w:cs="仿宋_GB2312"/>
          <w:sz w:val="32"/>
          <w:szCs w:val="32"/>
          <w:highlight w:val="none"/>
        </w:rPr>
        <w:t>。</w:t>
      </w:r>
    </w:p>
    <w:p>
      <w:pPr>
        <w:pStyle w:val="4"/>
        <w:spacing w:line="360" w:lineRule="auto"/>
        <w:ind w:firstLine="688" w:firstLineChars="215"/>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年我</w:t>
      </w:r>
      <w:r>
        <w:rPr>
          <w:rFonts w:hint="eastAsia" w:ascii="仿宋_GB2312" w:hAnsi="仿宋_GB2312" w:eastAsia="仿宋_GB2312" w:cs="仿宋_GB2312"/>
          <w:sz w:val="32"/>
          <w:szCs w:val="32"/>
          <w:highlight w:val="none"/>
          <w:lang w:eastAsia="zh-CN"/>
        </w:rPr>
        <w:t>中心</w:t>
      </w:r>
      <w:r>
        <w:rPr>
          <w:rFonts w:hint="eastAsia" w:ascii="仿宋_GB2312" w:hAnsi="仿宋_GB2312" w:eastAsia="仿宋_GB2312" w:cs="仿宋_GB2312"/>
          <w:sz w:val="32"/>
          <w:szCs w:val="32"/>
          <w:highlight w:val="none"/>
        </w:rPr>
        <w:t>自</w:t>
      </w:r>
      <w:r>
        <w:rPr>
          <w:rFonts w:hint="eastAsia" w:ascii="仿宋_GB2312" w:hAnsi="仿宋_GB2312" w:eastAsia="仿宋_GB2312" w:cs="仿宋_GB2312"/>
          <w:sz w:val="32"/>
          <w:szCs w:val="32"/>
          <w:highlight w:val="none"/>
          <w:lang w:eastAsia="zh-CN"/>
        </w:rPr>
        <w:t>资金下达</w:t>
      </w:r>
      <w:r>
        <w:rPr>
          <w:rFonts w:hint="eastAsia" w:ascii="仿宋_GB2312" w:hAnsi="仿宋_GB2312" w:eastAsia="仿宋_GB2312" w:cs="仿宋_GB2312"/>
          <w:sz w:val="32"/>
          <w:szCs w:val="32"/>
          <w:highlight w:val="none"/>
        </w:rPr>
        <w:t>即开始组织开展工作，从项目前期准备工作到项目实施，均按相关管理规定及有关制度稳步开展，从项目决策、项目管理、实施效果及群众满意度等方面；资金使用效果较为良好，项目的实施</w:t>
      </w:r>
      <w:r>
        <w:rPr>
          <w:rFonts w:hint="eastAsia" w:ascii="仿宋_GB2312" w:hAnsi="仿宋_GB2312" w:eastAsia="仿宋_GB2312" w:cs="仿宋_GB2312"/>
          <w:sz w:val="32"/>
          <w:szCs w:val="32"/>
          <w:highlight w:val="none"/>
          <w:lang w:val="en-US" w:eastAsia="zh-CN"/>
        </w:rPr>
        <w:t>解决了群众的供水需求及提高了群众</w:t>
      </w:r>
      <w:r>
        <w:rPr>
          <w:rFonts w:hint="eastAsia" w:ascii="仿宋_GB2312" w:hAnsi="仿宋_GB2312" w:eastAsia="仿宋_GB2312" w:cs="仿宋_GB2312"/>
          <w:sz w:val="32"/>
          <w:szCs w:val="32"/>
          <w:highlight w:val="none"/>
        </w:rPr>
        <w:t>的满意度。</w:t>
      </w:r>
    </w:p>
    <w:p>
      <w:pPr>
        <w:keepNext w:val="0"/>
        <w:keepLines w:val="0"/>
        <w:pageBreakBefore w:val="0"/>
        <w:widowControl w:val="0"/>
        <w:kinsoku/>
        <w:wordWrap/>
        <w:overflowPunct/>
        <w:topLinePunct w:val="0"/>
        <w:autoSpaceDE/>
        <w:bidi w:val="0"/>
        <w:adjustRightInd/>
        <w:snapToGrid/>
        <w:spacing w:line="600" w:lineRule="exact"/>
        <w:ind w:left="0" w:leftChars="0" w:right="0"/>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bidi w:val="0"/>
        <w:spacing w:line="600" w:lineRule="exact"/>
        <w:ind w:left="0"/>
        <w:rPr>
          <w:rFonts w:hint="eastAsia" w:ascii="仿宋_GB2312" w:hAnsi="仿宋_GB2312" w:eastAsia="仿宋_GB2312" w:cs="仿宋_GB2312"/>
        </w:rPr>
      </w:pPr>
    </w:p>
    <w:p>
      <w:pPr>
        <w:keepNext w:val="0"/>
        <w:keepLines w:val="0"/>
        <w:pageBreakBefore w:val="0"/>
        <w:kinsoku/>
        <w:wordWrap/>
        <w:overflowPunct/>
        <w:topLinePunct w:val="0"/>
        <w:autoSpaceDE/>
        <w:bidi w:val="0"/>
        <w:spacing w:line="600" w:lineRule="exact"/>
        <w:rPr>
          <w:rFonts w:hint="eastAsia"/>
          <w:b/>
          <w:bCs/>
        </w:rPr>
      </w:pPr>
      <w:bookmarkStart w:id="0" w:name="_GoBack"/>
      <w:bookmarkEnd w:id="0"/>
    </w:p>
    <w:sectPr>
      <w:headerReference r:id="rId3" w:type="default"/>
      <w:footerReference r:id="rId5" w:type="default"/>
      <w:headerReference r:id="rId4" w:type="even"/>
      <w:footerReference r:id="rId6" w:type="even"/>
      <w:pgSz w:w="11906" w:h="16838"/>
      <w:pgMar w:top="1701" w:right="1587" w:bottom="1474" w:left="1587" w:header="851" w:footer="964"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Tms Rmn">
    <w:altName w:val="Segoe Print"/>
    <w:panose1 w:val="02020603040505020304"/>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方正小标宋_GBK">
    <w:altName w:val="微软雅黑"/>
    <w:panose1 w:val="03000509000000000000"/>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w:t>
    </w:r>
    <w:r>
      <w:rPr>
        <w:rFonts w:ascii="仿宋_GB2312" w:eastAsia="仿宋_GB2312"/>
        <w:sz w:val="28"/>
        <w:szCs w:val="28"/>
      </w:rPr>
      <w:t xml:space="preserve"> 1 -</w:t>
    </w:r>
    <w:r>
      <w:rPr>
        <w:rFonts w:hint="eastAsia" w:ascii="仿宋_GB2312" w:eastAsia="仿宋_GB2312"/>
        <w:sz w:val="28"/>
        <w:szCs w:val="28"/>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w:t>
    </w:r>
    <w:r>
      <w:rPr>
        <w:rFonts w:ascii="仿宋_GB2312" w:eastAsia="仿宋_GB2312"/>
        <w:sz w:val="28"/>
        <w:szCs w:val="28"/>
      </w:rPr>
      <w:t xml:space="preserve"> 20 -</w:t>
    </w:r>
    <w:r>
      <w:rPr>
        <w:rFonts w:hint="eastAsia" w:ascii="仿宋_GB2312" w:eastAsia="仿宋_GB2312"/>
        <w:sz w:val="28"/>
        <w:szCs w:val="28"/>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39060471">
    <w:nsid w:val="37F8ECF7"/>
    <w:multiLevelType w:val="singleLevel"/>
    <w:tmpl w:val="37F8ECF7"/>
    <w:lvl w:ilvl="0" w:tentative="1">
      <w:start w:val="2"/>
      <w:numFmt w:val="chineseCounting"/>
      <w:suff w:val="nothing"/>
      <w:lvlText w:val="（%1）"/>
      <w:lvlJc w:val="left"/>
      <w:rPr>
        <w:rFonts w:hint="eastAsia"/>
      </w:rPr>
    </w:lvl>
  </w:abstractNum>
  <w:num w:numId="1">
    <w:abstractNumId w:val="93906047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223D9"/>
    <w:rsid w:val="000223D9"/>
    <w:rsid w:val="000573FC"/>
    <w:rsid w:val="001715A0"/>
    <w:rsid w:val="001B043F"/>
    <w:rsid w:val="00226ECF"/>
    <w:rsid w:val="00372EF4"/>
    <w:rsid w:val="00380101"/>
    <w:rsid w:val="003874E4"/>
    <w:rsid w:val="004279E3"/>
    <w:rsid w:val="00434457"/>
    <w:rsid w:val="004B4462"/>
    <w:rsid w:val="0055204B"/>
    <w:rsid w:val="0058477E"/>
    <w:rsid w:val="005B2198"/>
    <w:rsid w:val="00695C99"/>
    <w:rsid w:val="00741102"/>
    <w:rsid w:val="007A6A9E"/>
    <w:rsid w:val="007C2FB2"/>
    <w:rsid w:val="008234FD"/>
    <w:rsid w:val="00881362"/>
    <w:rsid w:val="0089349E"/>
    <w:rsid w:val="009B2DB0"/>
    <w:rsid w:val="00B82092"/>
    <w:rsid w:val="00BF2380"/>
    <w:rsid w:val="00C72BC0"/>
    <w:rsid w:val="00CA1E7B"/>
    <w:rsid w:val="00CA5BD2"/>
    <w:rsid w:val="00CC51E2"/>
    <w:rsid w:val="00DC329C"/>
    <w:rsid w:val="00E3440D"/>
    <w:rsid w:val="00E426D3"/>
    <w:rsid w:val="00F80B4A"/>
    <w:rsid w:val="00F87FF3"/>
    <w:rsid w:val="00FB2B22"/>
    <w:rsid w:val="01ED4B93"/>
    <w:rsid w:val="040B1461"/>
    <w:rsid w:val="04206FB9"/>
    <w:rsid w:val="045A4358"/>
    <w:rsid w:val="049A2DA3"/>
    <w:rsid w:val="050F4F8C"/>
    <w:rsid w:val="05E90AD9"/>
    <w:rsid w:val="066C452B"/>
    <w:rsid w:val="09B11499"/>
    <w:rsid w:val="09E60B9C"/>
    <w:rsid w:val="0CE418E5"/>
    <w:rsid w:val="0D3D78B2"/>
    <w:rsid w:val="0D981131"/>
    <w:rsid w:val="0DA90834"/>
    <w:rsid w:val="0EDA2004"/>
    <w:rsid w:val="0F6806F7"/>
    <w:rsid w:val="0F9C44BD"/>
    <w:rsid w:val="11AB42AA"/>
    <w:rsid w:val="11B56148"/>
    <w:rsid w:val="11F10FCC"/>
    <w:rsid w:val="127C5AE2"/>
    <w:rsid w:val="151A1F9F"/>
    <w:rsid w:val="157546A7"/>
    <w:rsid w:val="18197015"/>
    <w:rsid w:val="1863501E"/>
    <w:rsid w:val="18EF4C19"/>
    <w:rsid w:val="1A4346B1"/>
    <w:rsid w:val="1AE7714C"/>
    <w:rsid w:val="1CD34CD9"/>
    <w:rsid w:val="1CEE72BC"/>
    <w:rsid w:val="1D013E78"/>
    <w:rsid w:val="1EFB78C1"/>
    <w:rsid w:val="1FB62487"/>
    <w:rsid w:val="20191584"/>
    <w:rsid w:val="21E406C0"/>
    <w:rsid w:val="22220C1B"/>
    <w:rsid w:val="228D6792"/>
    <w:rsid w:val="239404D2"/>
    <w:rsid w:val="24425EF9"/>
    <w:rsid w:val="247B506A"/>
    <w:rsid w:val="247E1F2A"/>
    <w:rsid w:val="24C705DB"/>
    <w:rsid w:val="251A03A2"/>
    <w:rsid w:val="281B375B"/>
    <w:rsid w:val="28E85E0E"/>
    <w:rsid w:val="2A104056"/>
    <w:rsid w:val="2D827D68"/>
    <w:rsid w:val="2DDA0EA0"/>
    <w:rsid w:val="2DE84BB7"/>
    <w:rsid w:val="2E485B2D"/>
    <w:rsid w:val="2FD735FA"/>
    <w:rsid w:val="30D70D0F"/>
    <w:rsid w:val="31F22225"/>
    <w:rsid w:val="32787731"/>
    <w:rsid w:val="336049B2"/>
    <w:rsid w:val="36057FDF"/>
    <w:rsid w:val="37120614"/>
    <w:rsid w:val="37C0113C"/>
    <w:rsid w:val="37F37C8A"/>
    <w:rsid w:val="382B1402"/>
    <w:rsid w:val="3A9D300D"/>
    <w:rsid w:val="3AF52211"/>
    <w:rsid w:val="3B6C1927"/>
    <w:rsid w:val="3BBE3A3F"/>
    <w:rsid w:val="3BDD7D78"/>
    <w:rsid w:val="3D401208"/>
    <w:rsid w:val="3E2A590C"/>
    <w:rsid w:val="3E8E51C8"/>
    <w:rsid w:val="3FCB2704"/>
    <w:rsid w:val="419670F0"/>
    <w:rsid w:val="42D11DF7"/>
    <w:rsid w:val="43F67328"/>
    <w:rsid w:val="453723D4"/>
    <w:rsid w:val="4596336B"/>
    <w:rsid w:val="45E61A04"/>
    <w:rsid w:val="464B6965"/>
    <w:rsid w:val="469E6980"/>
    <w:rsid w:val="46B057EA"/>
    <w:rsid w:val="47703572"/>
    <w:rsid w:val="48CE5E64"/>
    <w:rsid w:val="4964317A"/>
    <w:rsid w:val="49926EA4"/>
    <w:rsid w:val="4A740247"/>
    <w:rsid w:val="4AF440F5"/>
    <w:rsid w:val="4BAB78C0"/>
    <w:rsid w:val="4CA95DDF"/>
    <w:rsid w:val="4D44275A"/>
    <w:rsid w:val="4F722FCC"/>
    <w:rsid w:val="50540993"/>
    <w:rsid w:val="50FA7F29"/>
    <w:rsid w:val="518F1700"/>
    <w:rsid w:val="52390C33"/>
    <w:rsid w:val="52C114F8"/>
    <w:rsid w:val="537E4FC1"/>
    <w:rsid w:val="54690427"/>
    <w:rsid w:val="561E1D8C"/>
    <w:rsid w:val="56205DAB"/>
    <w:rsid w:val="576B46B2"/>
    <w:rsid w:val="57925A39"/>
    <w:rsid w:val="57CB5AE9"/>
    <w:rsid w:val="57D85EC7"/>
    <w:rsid w:val="59D404ED"/>
    <w:rsid w:val="5B92474D"/>
    <w:rsid w:val="5CE94325"/>
    <w:rsid w:val="5D950FF9"/>
    <w:rsid w:val="5DA43B4C"/>
    <w:rsid w:val="5DB57F66"/>
    <w:rsid w:val="5E387BAC"/>
    <w:rsid w:val="5F675798"/>
    <w:rsid w:val="602A63AA"/>
    <w:rsid w:val="60D36972"/>
    <w:rsid w:val="61AD1B06"/>
    <w:rsid w:val="61B06644"/>
    <w:rsid w:val="61EA6E24"/>
    <w:rsid w:val="6237594E"/>
    <w:rsid w:val="62EA0803"/>
    <w:rsid w:val="63E9733B"/>
    <w:rsid w:val="668F5270"/>
    <w:rsid w:val="66DA0801"/>
    <w:rsid w:val="6858546E"/>
    <w:rsid w:val="68AB146A"/>
    <w:rsid w:val="690158BE"/>
    <w:rsid w:val="69066128"/>
    <w:rsid w:val="6AA748D7"/>
    <w:rsid w:val="6BFF13A7"/>
    <w:rsid w:val="6EA939F3"/>
    <w:rsid w:val="6F555881"/>
    <w:rsid w:val="70191090"/>
    <w:rsid w:val="7078202E"/>
    <w:rsid w:val="710A0BC0"/>
    <w:rsid w:val="724B5893"/>
    <w:rsid w:val="73304FAE"/>
    <w:rsid w:val="75D76F34"/>
    <w:rsid w:val="778A780E"/>
    <w:rsid w:val="779054B5"/>
    <w:rsid w:val="77AA059F"/>
    <w:rsid w:val="77B72A62"/>
    <w:rsid w:val="77DB6067"/>
    <w:rsid w:val="78E83DAB"/>
    <w:rsid w:val="792D7153"/>
    <w:rsid w:val="79695057"/>
    <w:rsid w:val="7A1779F7"/>
    <w:rsid w:val="7B63141F"/>
    <w:rsid w:val="7F097CB3"/>
    <w:rsid w:val="7F4F0D3B"/>
    <w:rsid w:val="7FC7240B"/>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3">
    <w:name w:val="heading 3"/>
    <w:basedOn w:val="1"/>
    <w:next w:val="1"/>
    <w:link w:val="17"/>
    <w:qFormat/>
    <w:uiPriority w:val="0"/>
    <w:pPr>
      <w:tabs>
        <w:tab w:val="left" w:pos="720"/>
      </w:tabs>
      <w:autoSpaceDE w:val="0"/>
      <w:autoSpaceDN w:val="0"/>
      <w:adjustRightInd w:val="0"/>
      <w:spacing w:before="120"/>
      <w:textAlignment w:val="baseline"/>
      <w:outlineLvl w:val="2"/>
    </w:pPr>
    <w:rPr>
      <w:rFonts w:ascii="宋体" w:hAnsi="Tms Rmn" w:eastAsia="宋体" w:cs="Times New Roman"/>
      <w:b/>
      <w:kern w:val="0"/>
      <w:sz w:val="24"/>
      <w:szCs w:val="20"/>
    </w:rPr>
  </w:style>
  <w:style w:type="character" w:default="1" w:styleId="10">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sz w:val="24"/>
    </w:rPr>
  </w:style>
  <w:style w:type="paragraph" w:styleId="4">
    <w:name w:val="Normal Indent"/>
    <w:basedOn w:val="1"/>
    <w:unhideWhenUsed/>
    <w:qFormat/>
    <w:uiPriority w:val="99"/>
    <w:pPr>
      <w:ind w:firstLine="420" w:firstLineChars="200"/>
    </w:pPr>
  </w:style>
  <w:style w:type="paragraph" w:styleId="5">
    <w:name w:val="Date"/>
    <w:basedOn w:val="1"/>
    <w:next w:val="1"/>
    <w:link w:val="16"/>
    <w:unhideWhenUsed/>
    <w:qFormat/>
    <w:uiPriority w:val="99"/>
    <w:pPr>
      <w:ind w:left="100" w:leftChars="2500"/>
    </w:pPr>
  </w:style>
  <w:style w:type="paragraph" w:styleId="6">
    <w:name w:val="footer"/>
    <w:basedOn w:val="1"/>
    <w:link w:val="18"/>
    <w:unhideWhenUsed/>
    <w:qFormat/>
    <w:uiPriority w:val="99"/>
    <w:pPr>
      <w:tabs>
        <w:tab w:val="center" w:pos="4153"/>
        <w:tab w:val="right" w:pos="8306"/>
      </w:tabs>
      <w:snapToGrid w:val="0"/>
      <w:jc w:val="left"/>
    </w:pPr>
    <w:rPr>
      <w:sz w:val="18"/>
    </w:rPr>
  </w:style>
  <w:style w:type="paragraph" w:styleId="7">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39"/>
    <w:pPr>
      <w:widowControl w:val="0"/>
      <w:tabs>
        <w:tab w:val="right" w:leader="dot" w:pos="8302"/>
      </w:tabs>
      <w:spacing w:after="0" w:line="360" w:lineRule="exact"/>
      <w:ind w:firstLine="0" w:firstLineChars="0"/>
      <w:jc w:val="center"/>
    </w:pPr>
    <w:rPr>
      <w:rFonts w:ascii="宋体" w:hAnsi="宋体" w:eastAsia="宋体"/>
      <w:b/>
      <w:color w:val="000000"/>
      <w:kern w:val="2"/>
    </w:rPr>
  </w:style>
  <w:style w:type="paragraph" w:styleId="9">
    <w:name w:val="Normal (Web)"/>
    <w:basedOn w:val="1"/>
    <w:qFormat/>
    <w:uiPriority w:val="0"/>
    <w:pPr>
      <w:spacing w:before="100" w:beforeAutospacing="1" w:after="100" w:afterAutospacing="1"/>
      <w:jc w:val="left"/>
    </w:pPr>
    <w:rPr>
      <w:rFonts w:ascii="Calibri" w:hAnsi="Calibri" w:eastAsia="宋体" w:cs="Times New Roman"/>
      <w:kern w:val="0"/>
      <w:sz w:val="24"/>
    </w:rPr>
  </w:style>
  <w:style w:type="table" w:styleId="12">
    <w:name w:val="Table Grid"/>
    <w:basedOn w:val="1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海南化工城正文"/>
    <w:basedOn w:val="14"/>
    <w:qFormat/>
    <w:uiPriority w:val="0"/>
    <w:pPr>
      <w:ind w:firstLine="480"/>
    </w:pPr>
    <w:rPr>
      <w:sz w:val="24"/>
    </w:rPr>
  </w:style>
  <w:style w:type="paragraph" w:customStyle="1" w:styleId="14">
    <w:name w:val="样式 电镀正文 + 首行缩进:  2 字符"/>
    <w:basedOn w:val="15"/>
    <w:qFormat/>
    <w:uiPriority w:val="0"/>
    <w:pPr>
      <w:spacing w:line="324" w:lineRule="auto"/>
    </w:pPr>
    <w:rPr>
      <w:rFonts w:cs="宋体"/>
      <w:szCs w:val="20"/>
    </w:rPr>
  </w:style>
  <w:style w:type="paragraph" w:customStyle="1" w:styleId="15">
    <w:name w:val="电镀正文"/>
    <w:basedOn w:val="4"/>
    <w:qFormat/>
    <w:uiPriority w:val="0"/>
    <w:pPr>
      <w:spacing w:line="400" w:lineRule="exact"/>
      <w:ind w:firstLine="200"/>
    </w:pPr>
    <w:rPr>
      <w:rFonts w:ascii="宋体" w:hAnsi="宋体"/>
    </w:rPr>
  </w:style>
  <w:style w:type="character" w:customStyle="1" w:styleId="16">
    <w:name w:val="日期 Char"/>
    <w:basedOn w:val="10"/>
    <w:link w:val="5"/>
    <w:semiHidden/>
    <w:qFormat/>
    <w:uiPriority w:val="99"/>
  </w:style>
  <w:style w:type="character" w:customStyle="1" w:styleId="17">
    <w:name w:val="标题 3 Char"/>
    <w:basedOn w:val="10"/>
    <w:link w:val="3"/>
    <w:qFormat/>
    <w:uiPriority w:val="0"/>
    <w:rPr>
      <w:rFonts w:ascii="宋体" w:hAnsi="Tms Rmn" w:eastAsia="宋体" w:cs="Times New Roman"/>
      <w:b/>
      <w:sz w:val="24"/>
    </w:rPr>
  </w:style>
  <w:style w:type="character" w:customStyle="1" w:styleId="18">
    <w:name w:val="页脚 Char"/>
    <w:basedOn w:val="10"/>
    <w:link w:val="6"/>
    <w:qFormat/>
    <w:uiPriority w:val="99"/>
    <w:rPr>
      <w:kern w:val="2"/>
      <w:sz w:val="18"/>
      <w:szCs w:val="22"/>
    </w:rPr>
  </w:style>
  <w:style w:type="character" w:customStyle="1" w:styleId="19">
    <w:name w:val="font11"/>
    <w:basedOn w:val="10"/>
    <w:qFormat/>
    <w:uiPriority w:val="0"/>
    <w:rPr>
      <w:rFonts w:hint="default" w:ascii="仿宋_GB2312" w:eastAsia="仿宋_GB2312" w:cs="仿宋_GB2312"/>
      <w:color w:val="000000"/>
      <w:sz w:val="20"/>
      <w:szCs w:val="20"/>
      <w:u w:val="none"/>
    </w:rPr>
  </w:style>
  <w:style w:type="character" w:customStyle="1" w:styleId="20">
    <w:name w:val="font31"/>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21</Pages>
  <Words>2037</Words>
  <Characters>11612</Characters>
  <Lines>96</Lines>
  <Paragraphs>27</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2021-04-13T02:59:00Z</dcterms:created>
  <dc:creator>Administrator</dc:creator>
  <cp:lastModifiedBy>Administrator</cp:lastModifiedBy>
  <cp:lastPrinted>2021-05-14T00:33:00Z</cp:lastPrinted>
  <dcterms:modified xsi:type="dcterms:W3CDTF">2025-06-23T09:44:07Z</dcterms:modified>
  <dc:title>保亭黎族苗族自治县财政局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F8A55DCE2C3D43CD9941A246C11F2139</vt:lpwstr>
  </property>
</Properties>
</file>