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保城镇</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保城镇</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保城镇</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保城镇</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spacing w:line="439" w:lineRule="atLeast"/>
        <w:ind w:firstLine="600" w:firstLineChars="250"/>
        <w:rPr>
          <w:rFonts w:ascii="仿宋_GB2312" w:eastAsia="仿宋_GB2312"/>
          <w:sz w:val="32"/>
          <w:szCs w:val="32"/>
        </w:rPr>
      </w:pPr>
      <w:r>
        <w:rPr>
          <w:rFonts w:hint="eastAsia" w:hAnsi="黑体" w:cs="仿宋_GB2312"/>
          <w:szCs w:val="32"/>
        </w:rPr>
        <w:t xml:space="preserve">   </w:t>
      </w:r>
      <w:r>
        <w:rPr>
          <w:rFonts w:hint="eastAsia" w:ascii="仿宋_GB2312" w:eastAsia="仿宋_GB2312"/>
          <w:sz w:val="32"/>
          <w:szCs w:val="32"/>
        </w:rPr>
        <w:t>保城镇党委和政府设置党政综合办公室(加挂“社会治安综合治理办公室”“防风防旱办公室”牌子)、经济发展办公室、社会事务办公室(加挂“计划生育办公室”牌子)3个内设机构。</w:t>
      </w:r>
    </w:p>
    <w:p>
      <w:pPr>
        <w:pStyle w:val="10"/>
        <w:spacing w:line="439" w:lineRule="atLeast"/>
        <w:rPr>
          <w:rFonts w:ascii="仿宋_GB2312" w:eastAsia="仿宋_GB2312"/>
          <w:sz w:val="32"/>
          <w:szCs w:val="32"/>
        </w:rPr>
      </w:pPr>
      <w:r>
        <w:rPr>
          <w:rFonts w:hint="eastAsia" w:ascii="仿宋_GB2312" w:eastAsia="仿宋_GB2312"/>
          <w:sz w:val="32"/>
          <w:szCs w:val="32"/>
        </w:rPr>
        <w:t xml:space="preserve">  镇机关党政内设机构的主要职责分别为：</w:t>
      </w:r>
    </w:p>
    <w:p>
      <w:pPr>
        <w:pStyle w:val="10"/>
        <w:spacing w:line="439" w:lineRule="atLeast"/>
        <w:rPr>
          <w:rFonts w:ascii="仿宋_GB2312" w:eastAsia="仿宋_GB2312"/>
          <w:sz w:val="32"/>
          <w:szCs w:val="32"/>
        </w:rPr>
      </w:pPr>
      <w:r>
        <w:rPr>
          <w:rFonts w:hint="eastAsia" w:ascii="仿宋_GB2312" w:eastAsia="仿宋_GB2312"/>
          <w:sz w:val="32"/>
          <w:szCs w:val="32"/>
        </w:rPr>
        <w:t xml:space="preserve">  1、党政综合办公室(加挂“社会治安综合治理办公室”、“防风防旱办公室”牌子)主要承担镇党委、政府的日常事务;负责社会治安综合治理、社会稳定、三防、工青妇及各部门各方面的综合协调工作;负责环境卫生、路政设施等镇容镇貌管理工作;督促检查有关工作的落实和做好各种统计报表工作。</w:t>
      </w:r>
    </w:p>
    <w:p>
      <w:pPr>
        <w:pStyle w:val="10"/>
        <w:spacing w:line="439" w:lineRule="atLeast"/>
        <w:rPr>
          <w:rFonts w:ascii="仿宋_GB2312" w:eastAsia="仿宋_GB2312"/>
          <w:sz w:val="32"/>
          <w:szCs w:val="32"/>
        </w:rPr>
      </w:pPr>
      <w:r>
        <w:rPr>
          <w:rFonts w:hint="eastAsia" w:ascii="仿宋_GB2312" w:eastAsia="仿宋_GB2312"/>
          <w:sz w:val="32"/>
          <w:szCs w:val="32"/>
        </w:rPr>
        <w:t xml:space="preserve">  2、经济发展办公室主要负责本镇经济建设、农业发展规划与技术推广、农田水利建设与基本农田保护、第三产业发展规划、环境与自然资源保护、公有资产管理、农村集体土地管理、投资发展环境的营造等指导工作;负责协调财税、工商、金融等部门关系及其他与经济发展相关的工作职能;</w:t>
      </w:r>
    </w:p>
    <w:p>
      <w:pPr>
        <w:pStyle w:val="10"/>
        <w:spacing w:line="439" w:lineRule="atLeast"/>
        <w:rPr>
          <w:rFonts w:ascii="仿宋_GB2312" w:eastAsia="仿宋_GB2312"/>
          <w:sz w:val="30"/>
          <w:szCs w:val="30"/>
        </w:rPr>
      </w:pPr>
      <w:r>
        <w:rPr>
          <w:rFonts w:hint="eastAsia" w:ascii="仿宋_GB2312" w:eastAsia="仿宋_GB2312"/>
          <w:sz w:val="32"/>
          <w:szCs w:val="32"/>
        </w:rPr>
        <w:t xml:space="preserve">  3、社会事务办公室(加挂“计划生育办公室”牌子)主要承担科教文卫事务，农村新型合作医疗、民政优抚、民族宗教、农村低保、劳动和社会保障等事务的管理和监督工作，协调与社会事务相关的其他工作;主管全镇人口与计划生育工作;负责计划生育法律法规政策和</w:t>
      </w:r>
      <w:r>
        <w:rPr>
          <w:rFonts w:hint="eastAsia" w:ascii="仿宋_GB2312" w:eastAsia="仿宋_GB2312"/>
          <w:sz w:val="30"/>
          <w:szCs w:val="30"/>
        </w:rPr>
        <w:t>人口理论的宣传、贯彻与执行;做好人口计划的编制和统计上报，承担村镇规划建设管理和服务的职能。</w:t>
      </w:r>
    </w:p>
    <w:p>
      <w:pPr>
        <w:pStyle w:val="11"/>
        <w:ind w:firstLine="600"/>
        <w:jc w:val="left"/>
        <w:rPr>
          <w:rFonts w:ascii="仿宋_GB2312" w:hAnsi="黑体" w:eastAsia="仿宋_GB2312" w:cs="仿宋_GB2312"/>
          <w:sz w:val="32"/>
          <w:szCs w:val="32"/>
        </w:rPr>
      </w:pPr>
      <w:r>
        <w:rPr>
          <w:rFonts w:hint="eastAsia" w:ascii="仿宋_GB2312" w:eastAsia="仿宋_GB2312"/>
          <w:sz w:val="30"/>
          <w:szCs w:val="30"/>
        </w:rPr>
        <w:t>镇人大、纪委、人民武装部、工会、团委、妇联等机构按有关法律、章程规定设置。</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纳入纳入</w:t>
      </w:r>
      <w:r>
        <w:rPr>
          <w:rFonts w:hint="eastAsia" w:ascii="仿宋_GB2312" w:hAnsi="黑体" w:eastAsia="仿宋_GB2312" w:cs="仿宋_GB2312"/>
          <w:sz w:val="32"/>
          <w:szCs w:val="32"/>
          <w:lang w:eastAsia="zh-CN"/>
        </w:rPr>
        <w:t>保城镇政府</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12"/>
        <w:numPr>
          <w:ilvl w:val="0"/>
          <w:numId w:val="6"/>
        </w:numPr>
        <w:tabs>
          <w:tab w:val="left" w:pos="1131"/>
        </w:tabs>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ab/>
      </w:r>
      <w:r>
        <w:rPr>
          <w:rFonts w:hint="eastAsia" w:ascii="仿宋_GB2312" w:hAnsi="黑体" w:eastAsia="仿宋_GB2312" w:cs="仿宋_GB2312"/>
          <w:sz w:val="32"/>
          <w:szCs w:val="32"/>
          <w:lang w:eastAsia="zh-CN"/>
        </w:rPr>
        <w:t>保城镇人民政府</w:t>
      </w:r>
    </w:p>
    <w:p>
      <w:pPr>
        <w:pStyle w:val="12"/>
        <w:numPr>
          <w:ilvl w:val="0"/>
          <w:numId w:val="6"/>
        </w:numPr>
        <w:tabs>
          <w:tab w:val="left" w:pos="1131"/>
        </w:tabs>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保城镇农业服务中心</w:t>
      </w:r>
    </w:p>
    <w:p>
      <w:pPr>
        <w:pStyle w:val="12"/>
        <w:numPr>
          <w:ilvl w:val="0"/>
          <w:numId w:val="6"/>
        </w:numPr>
        <w:tabs>
          <w:tab w:val="left" w:pos="1131"/>
        </w:tabs>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保城镇社会事业服务中心</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保城镇</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保城镇</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保城镇</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保城镇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4834.21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4834.21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1074.76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4834.21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保城镇</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保城镇</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1074.76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村级换届经费、村级人员补贴提高、生态护林员补贴结转。</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1074.76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22.23</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492.65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71.67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color w:val="000000" w:themeColor="text1"/>
          <w:sz w:val="32"/>
          <w:szCs w:val="32"/>
          <w:lang w:val="en-US" w:eastAsia="zh-CN"/>
        </w:rPr>
        <w:t>2</w:t>
      </w:r>
      <w:r>
        <w:rPr>
          <w:rFonts w:hint="eastAsia" w:ascii="仿宋_GB2312" w:hAnsi="黑体" w:eastAsia="仿宋_GB2312" w:cs="仿宋_GB2312"/>
          <w:sz w:val="32"/>
          <w:szCs w:val="32"/>
        </w:rPr>
        <w:t>、一般公共服务（类）其他公共安全支出（款）其他公共安全支出（项）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年预算数为10万元，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color w:val="000000" w:themeColor="text1"/>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教育</w:t>
      </w:r>
      <w:r>
        <w:rPr>
          <w:rFonts w:hint="eastAsia" w:ascii="仿宋_GB2312" w:hAnsi="黑体" w:eastAsia="仿宋_GB2312" w:cs="仿宋_GB2312"/>
          <w:sz w:val="32"/>
          <w:szCs w:val="32"/>
        </w:rPr>
        <w:t>支出（款）</w:t>
      </w:r>
      <w:r>
        <w:rPr>
          <w:rFonts w:hint="eastAsia" w:ascii="仿宋_GB2312" w:hAnsi="黑体" w:eastAsia="仿宋_GB2312" w:cs="仿宋_GB2312"/>
          <w:sz w:val="32"/>
          <w:szCs w:val="32"/>
          <w:lang w:eastAsia="zh-CN"/>
        </w:rPr>
        <w:t>教育</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w:t>
      </w:r>
    </w:p>
    <w:p>
      <w:pPr>
        <w:ind w:firstLine="640" w:firstLineChars="200"/>
        <w:rPr>
          <w:rFonts w:hint="default" w:ascii="仿宋_GB2312" w:hAnsi="黑体" w:eastAsia="仿宋_GB2312"/>
          <w:sz w:val="32"/>
          <w:szCs w:val="32"/>
          <w:lang w:val="en-US" w:eastAsia="zh-CN"/>
        </w:rPr>
      </w:pP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（类）人力资源和社会保障管理事务（款）社会保险业务管理事务（项）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4.34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0.66</w:t>
      </w:r>
      <w:r>
        <w:rPr>
          <w:rFonts w:hint="eastAsia" w:ascii="仿宋_GB2312" w:hAnsi="黑体" w:eastAsia="仿宋_GB2312" w:cs="仿宋_GB2312"/>
          <w:sz w:val="32"/>
          <w:szCs w:val="32"/>
        </w:rPr>
        <w:t>万元，主要是基本支出</w:t>
      </w:r>
      <w:r>
        <w:rPr>
          <w:rFonts w:hint="eastAsia" w:ascii="仿宋_GB2312" w:hAnsi="黑体" w:eastAsia="仿宋_GB2312" w:cs="仿宋_GB2312"/>
          <w:sz w:val="32"/>
          <w:szCs w:val="32"/>
          <w:lang w:eastAsia="zh-CN"/>
        </w:rPr>
        <w:t>减少。</w:t>
      </w:r>
    </w:p>
    <w:p>
      <w:pPr>
        <w:numPr>
          <w:ilvl w:val="0"/>
          <w:numId w:val="7"/>
        </w:numPr>
        <w:ind w:left="0" w:leftChars="0"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 民政管理事务（款） 其他民政管理事务支出（项）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22.7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8.4</w:t>
      </w:r>
      <w:r>
        <w:rPr>
          <w:rFonts w:hint="eastAsia" w:ascii="仿宋_GB2312" w:hAnsi="黑体" w:eastAsia="仿宋_GB2312" w:cs="仿宋_GB2312"/>
          <w:sz w:val="32"/>
          <w:szCs w:val="32"/>
        </w:rPr>
        <w:t>万元，主要是基本支出</w:t>
      </w:r>
      <w:r>
        <w:rPr>
          <w:rFonts w:hint="eastAsia" w:ascii="仿宋_GB2312" w:hAnsi="黑体" w:eastAsia="仿宋_GB2312" w:cs="仿宋_GB2312"/>
          <w:sz w:val="32"/>
          <w:szCs w:val="32"/>
          <w:lang w:eastAsia="zh-CN"/>
        </w:rPr>
        <w:t>减少。</w:t>
      </w:r>
    </w:p>
    <w:p>
      <w:pPr>
        <w:numPr>
          <w:ilvl w:val="0"/>
          <w:numId w:val="7"/>
        </w:numPr>
        <w:ind w:left="0" w:leftChars="0"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  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67.81</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24.19</w:t>
      </w:r>
      <w:r>
        <w:rPr>
          <w:rFonts w:hint="eastAsia" w:ascii="仿宋_GB2312" w:hAnsi="黑体" w:eastAsia="仿宋_GB2312" w:cs="仿宋_GB2312"/>
          <w:sz w:val="32"/>
          <w:szCs w:val="32"/>
        </w:rPr>
        <w:t>万元，主要是基本支出</w:t>
      </w:r>
      <w:r>
        <w:rPr>
          <w:rFonts w:hint="eastAsia" w:ascii="仿宋_GB2312" w:hAnsi="黑体" w:eastAsia="仿宋_GB2312" w:cs="仿宋_GB2312"/>
          <w:sz w:val="32"/>
          <w:szCs w:val="32"/>
          <w:lang w:eastAsia="zh-CN"/>
        </w:rPr>
        <w:t>减少。</w:t>
      </w:r>
    </w:p>
    <w:p>
      <w:pPr>
        <w:numPr>
          <w:ilvl w:val="0"/>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 xml:space="preserve">（类） </w:t>
      </w:r>
      <w:r>
        <w:rPr>
          <w:rFonts w:hint="eastAsia" w:ascii="仿宋_GB2312" w:hAnsi="黑体" w:eastAsia="仿宋_GB2312" w:cs="仿宋_GB2312"/>
          <w:sz w:val="32"/>
          <w:szCs w:val="32"/>
          <w:lang w:eastAsia="zh-CN"/>
        </w:rPr>
        <w:t>临时救助</w:t>
      </w:r>
      <w:r>
        <w:rPr>
          <w:rFonts w:hint="eastAsia" w:ascii="仿宋_GB2312" w:hAnsi="黑体" w:eastAsia="仿宋_GB2312" w:cs="仿宋_GB2312"/>
          <w:sz w:val="32"/>
          <w:szCs w:val="32"/>
        </w:rPr>
        <w:t xml:space="preserve"> （款）</w:t>
      </w:r>
      <w:r>
        <w:rPr>
          <w:rFonts w:hint="eastAsia" w:ascii="仿宋_GB2312" w:hAnsi="黑体" w:eastAsia="仿宋_GB2312" w:cs="仿宋_GB2312"/>
          <w:sz w:val="32"/>
          <w:szCs w:val="32"/>
          <w:lang w:eastAsia="zh-CN"/>
        </w:rPr>
        <w:t>临时救助</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8.03</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项目</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增多。</w:t>
      </w:r>
    </w:p>
    <w:p>
      <w:pPr>
        <w:numPr>
          <w:ilvl w:val="0"/>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 退役军人管理事务（款）   其他退役军人事务管理支出（项）</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万元，主要是基本支出</w:t>
      </w:r>
      <w:r>
        <w:rPr>
          <w:rFonts w:hint="eastAsia" w:ascii="仿宋_GB2312" w:hAnsi="黑体" w:eastAsia="仿宋_GB2312" w:cs="仿宋_GB2312"/>
          <w:sz w:val="32"/>
          <w:szCs w:val="32"/>
          <w:lang w:eastAsia="zh-CN"/>
        </w:rPr>
        <w:t>减少。</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8、卫生健康支出（类）行政事业单位医疗（款）行政单位医疗（项）2021年预算数为234.89万元，比上年增加134.37万元，主要是人员增加。</w:t>
      </w:r>
    </w:p>
    <w:p>
      <w:pPr>
        <w:ind w:left="210" w:leftChars="10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9、卫生健康支出（类）行政事业单位医疗（款）公务员医疗补助（项）2021年预算数为224.89万元，比上年增加138.25万元，主要是人员增加。</w:t>
      </w:r>
    </w:p>
    <w:p>
      <w:pPr>
        <w:ind w:left="210" w:leftChars="10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10、卫生健康支出（类）行政事业单位医疗（款）行政单位医疗（项）2021年预算数37.72比上年增加23.72万元，主要是经费增加。</w:t>
      </w:r>
    </w:p>
    <w:p>
      <w:p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11、节能环保支出（类）自然生态保护（款）生态保护（项）2021年预算数为342.96万元，与上年预算数增加6.27万元主要是项目增加。</w:t>
      </w:r>
    </w:p>
    <w:p>
      <w:pPr>
        <w:ind w:left="210" w:leftChars="10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12、节能环保支出（类）自然生态保护（款）生态保护（项）2021年预算数为52.8万元，与上年预算数减少12.36万元，主要是项目减少。 </w:t>
      </w:r>
    </w:p>
    <w:p>
      <w:pPr>
        <w:ind w:left="210" w:leftChars="100"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 节能环保支出（类）自然生态保护（款）农村环境保护（项）2021年预算数为290.16万元，与上年预算数增加18.63万元，主要是项目增加。</w:t>
      </w:r>
    </w:p>
    <w:p>
      <w:p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14、农林水支出（类）农业（款）事业运行（项）2021年预算数为107.06万元，比上年预算数减少6.75万元，主要是减少预算支出。</w:t>
      </w:r>
    </w:p>
    <w:p>
      <w:pPr>
        <w:ind w:left="210" w:leftChars="100" w:firstLine="640" w:firstLineChars="200"/>
        <w:rPr>
          <w:rFonts w:hint="eastAsia" w:ascii="仿宋_GB2312" w:hAnsi="黑体" w:eastAsia="仿宋_GB2312" w:cs="仿宋_GB2312"/>
          <w:sz w:val="32"/>
          <w:szCs w:val="32"/>
          <w:lang w:val="en-US" w:eastAsia="zh-CN"/>
        </w:rPr>
      </w:pPr>
    </w:p>
    <w:p>
      <w:p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15、农林水支出（类）农业（款）农村综合改革（项）2021年预算数为847.2万元，比上年预算数增加188.11万元，主要是调整村委会人员补贴。</w:t>
      </w:r>
    </w:p>
    <w:p>
      <w:p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color w:val="000000" w:themeColor="text1"/>
          <w:sz w:val="32"/>
          <w:szCs w:val="32"/>
          <w:lang w:val="en-US" w:eastAsia="zh-CN"/>
        </w:rPr>
        <w:t>16</w:t>
      </w:r>
      <w:r>
        <w:rPr>
          <w:rFonts w:hint="eastAsia" w:ascii="仿宋_GB2312" w:hAnsi="黑体" w:eastAsia="仿宋_GB2312" w:cs="仿宋_GB2312"/>
          <w:sz w:val="32"/>
          <w:szCs w:val="32"/>
          <w:lang w:val="en-US" w:eastAsia="zh-CN"/>
        </w:rPr>
        <w:t>、农林水支出（类）扶贫（款）基础设施建设（项）2021年预算数为744.93万元，比上年预算数减少217.83万元，主要是项目减少资金减少。</w:t>
      </w:r>
    </w:p>
    <w:p>
      <w:p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17、农林水支出（类）扶贫（款）生产发展（项）2021年预算数为899.13万元，比上年预算数减少332.41万元，主要是项目减少资金减少。</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18、交通运输支出（类）邮政业支出（款） 邮政普遍服务与特殊服务（项）2021年预算数为8.16万元，与上年预算数持平。</w:t>
      </w:r>
    </w:p>
    <w:p>
      <w:pPr>
        <w:numPr>
          <w:ilvl w:val="0"/>
          <w:numId w:val="0"/>
        </w:num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19、住房保障支出（类）住房改革支出（款） 住房公积金（项）2021年预算数为98.13万元，比上年预算数增加8.4万元，主要是人数增加预算增加。</w:t>
      </w:r>
    </w:p>
    <w:p>
      <w:pPr>
        <w:numPr>
          <w:ilvl w:val="0"/>
          <w:numId w:val="0"/>
        </w:num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20、社会保障和就业支出（类） 人力资源和社会保障管理事务（款）社会保险业务管理事务 （项）2021年预算数为4.34万元。比上年预算数增加3.84万元，主要是人数增加预算增加。</w:t>
      </w:r>
    </w:p>
    <w:p>
      <w:pPr>
        <w:numPr>
          <w:ilvl w:val="0"/>
          <w:numId w:val="0"/>
        </w:num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21、社会保障和就业支出（类） 民政管理事务 （款）  其他民政管理事务支出（项）2021年预算数为22.7万元。比上年预算数减少8.4万元，主要是人数减少预算减少。</w:t>
      </w:r>
    </w:p>
    <w:p>
      <w:pPr>
        <w:numPr>
          <w:ilvl w:val="0"/>
          <w:numId w:val="0"/>
        </w:numPr>
        <w:ind w:firstLine="640" w:firstLineChars="200"/>
        <w:rPr>
          <w:rFonts w:hint="eastAsia" w:ascii="仿宋_GB2312" w:hAnsi="黑体" w:eastAsia="仿宋_GB2312" w:cs="仿宋_GB2312"/>
          <w:sz w:val="32"/>
          <w:szCs w:val="32"/>
          <w:lang w:val="en-US" w:eastAsia="zh-CN"/>
        </w:rPr>
      </w:pPr>
    </w:p>
    <w:p>
      <w:pPr>
        <w:numPr>
          <w:ilvl w:val="0"/>
          <w:numId w:val="0"/>
        </w:numPr>
        <w:ind w:firstLine="960" w:firstLineChars="3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22、社会保障和就业支出（类）行政事业单位养老支出 （款）机关事业单位基本养老保险缴费支出  （项）2021年预算数为67.81万元，比上年预算数减少24.19万元，主要是人数减少预算减少。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保城镇</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保城镇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1212.31</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1058.92</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绩效工资、机关事业基本养老保险缴费、城镇职工基本医疗保险缴费、公务医疗补助缴费、其他社会保障缴费、住房公积金、其他工资福利支出。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148.21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eastAsia="zh-CN"/>
        </w:rPr>
        <w:t>邮电费、差旅费、会议费、培训费、劳务费、工会经费、公务用车运行维护费、其他交通费用、其他商品和服务支出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保城镇</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保城镇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保城镇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保城镇</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保城镇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保城镇</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cs="仿宋_GB2312"/>
          <w:sz w:val="32"/>
          <w:szCs w:val="32"/>
          <w:lang w:eastAsia="zh-CN"/>
        </w:rPr>
        <w:t>国有资本经营预算拨款收入，财政专户管理资金收入、</w:t>
      </w:r>
      <w:r>
        <w:rPr>
          <w:rFonts w:hint="eastAsia" w:ascii="仿宋_GB2312" w:hAnsi="黑体" w:eastAsia="仿宋_GB2312" w:cs="仿宋_GB2312"/>
          <w:sz w:val="32"/>
          <w:szCs w:val="32"/>
        </w:rPr>
        <w:t>其他财政资金收入、事业收入、</w:t>
      </w:r>
      <w:r>
        <w:rPr>
          <w:rFonts w:hint="eastAsia" w:ascii="仿宋_GB2312" w:hAnsi="黑体" w:eastAsia="仿宋_GB2312" w:cs="仿宋_GB2312"/>
          <w:sz w:val="32"/>
          <w:szCs w:val="32"/>
          <w:lang w:eastAsia="zh-CN"/>
        </w:rPr>
        <w:t>上级补助收入、附属单位上缴收入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节能环保</w:t>
      </w:r>
      <w:r>
        <w:rPr>
          <w:rFonts w:hint="eastAsia" w:ascii="仿宋_GB2312" w:hAnsi="黑体" w:eastAsia="仿宋_GB2312"/>
          <w:sz w:val="32"/>
          <w:szCs w:val="32"/>
        </w:rPr>
        <w:t>支出、教育支出、</w:t>
      </w:r>
      <w:r>
        <w:rPr>
          <w:rFonts w:hint="eastAsia" w:ascii="仿宋_GB2312" w:hAnsi="黑体" w:eastAsia="仿宋_GB2312"/>
          <w:sz w:val="32"/>
          <w:szCs w:val="32"/>
          <w:lang w:eastAsia="zh-CN"/>
        </w:rPr>
        <w:t>农林水支出、交通运输支出、住房保障支出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1074.76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保城镇</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4834.21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万元；一般公共预算拨款收入</w:t>
      </w:r>
      <w:r>
        <w:rPr>
          <w:rFonts w:hint="eastAsia" w:ascii="仿宋_GB2312" w:hAnsi="黑体" w:eastAsia="仿宋_GB2312" w:cs="仿宋_GB2312"/>
          <w:sz w:val="32"/>
          <w:szCs w:val="32"/>
          <w:lang w:val="en-US" w:eastAsia="zh-CN"/>
        </w:rPr>
        <w:t>1074.76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22.23</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2034.84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保城镇</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4834.21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1212.31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25.07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3621.9</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2567.06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项目增多资金增多</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保城镇政府本级、农业服务中心、社会事务服务中心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129.59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保城镇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76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4834.21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2CD0D00"/>
    <w:multiLevelType w:val="singleLevel"/>
    <w:tmpl w:val="42CD0D00"/>
    <w:lvl w:ilvl="0" w:tentative="0">
      <w:start w:val="3"/>
      <w:numFmt w:val="decimal"/>
      <w:suff w:val="nothing"/>
      <w:lvlText w:val="%1、"/>
      <w:lvlJc w:val="left"/>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26C"/>
    <w:rsid w:val="001370E0"/>
    <w:rsid w:val="001E5C72"/>
    <w:rsid w:val="00240E79"/>
    <w:rsid w:val="00273FB6"/>
    <w:rsid w:val="002C4587"/>
    <w:rsid w:val="00322FDB"/>
    <w:rsid w:val="00336654"/>
    <w:rsid w:val="0034212C"/>
    <w:rsid w:val="003B767E"/>
    <w:rsid w:val="003C6E9E"/>
    <w:rsid w:val="003E2B27"/>
    <w:rsid w:val="00495BF7"/>
    <w:rsid w:val="004D2FB1"/>
    <w:rsid w:val="00503388"/>
    <w:rsid w:val="00606BFF"/>
    <w:rsid w:val="00674B8E"/>
    <w:rsid w:val="006A08F2"/>
    <w:rsid w:val="006D309D"/>
    <w:rsid w:val="00805349"/>
    <w:rsid w:val="00822D2A"/>
    <w:rsid w:val="00856F8B"/>
    <w:rsid w:val="00951EF1"/>
    <w:rsid w:val="00A01465"/>
    <w:rsid w:val="00A42B5F"/>
    <w:rsid w:val="00A83F30"/>
    <w:rsid w:val="00B3026C"/>
    <w:rsid w:val="00B61D33"/>
    <w:rsid w:val="00BD7E56"/>
    <w:rsid w:val="00C05849"/>
    <w:rsid w:val="00C22D12"/>
    <w:rsid w:val="00C719C5"/>
    <w:rsid w:val="00D03E43"/>
    <w:rsid w:val="00D72BEC"/>
    <w:rsid w:val="00E13A39"/>
    <w:rsid w:val="00E640A6"/>
    <w:rsid w:val="00EF3E2E"/>
    <w:rsid w:val="00F454DA"/>
    <w:rsid w:val="00F91E9B"/>
    <w:rsid w:val="00FF3AFB"/>
    <w:rsid w:val="01FD6D95"/>
    <w:rsid w:val="050E3AF8"/>
    <w:rsid w:val="0891128F"/>
    <w:rsid w:val="0E162749"/>
    <w:rsid w:val="103B221E"/>
    <w:rsid w:val="14BF794D"/>
    <w:rsid w:val="1B5477A8"/>
    <w:rsid w:val="1B6C4BA6"/>
    <w:rsid w:val="1B8C675B"/>
    <w:rsid w:val="1C9C22C7"/>
    <w:rsid w:val="22F70387"/>
    <w:rsid w:val="234E0570"/>
    <w:rsid w:val="234F4122"/>
    <w:rsid w:val="239404C8"/>
    <w:rsid w:val="23B44CB8"/>
    <w:rsid w:val="248921A3"/>
    <w:rsid w:val="24AC5FC2"/>
    <w:rsid w:val="26A12DA8"/>
    <w:rsid w:val="27E125F2"/>
    <w:rsid w:val="280272C9"/>
    <w:rsid w:val="29D05579"/>
    <w:rsid w:val="2A4D2717"/>
    <w:rsid w:val="2A865CBA"/>
    <w:rsid w:val="2B7E7223"/>
    <w:rsid w:val="369C4697"/>
    <w:rsid w:val="36B5061F"/>
    <w:rsid w:val="375E5379"/>
    <w:rsid w:val="39FB40B8"/>
    <w:rsid w:val="3B285238"/>
    <w:rsid w:val="3BC605C2"/>
    <w:rsid w:val="3BDF01F7"/>
    <w:rsid w:val="3D7901FF"/>
    <w:rsid w:val="3ED8620E"/>
    <w:rsid w:val="3F5B4EAC"/>
    <w:rsid w:val="415F73DE"/>
    <w:rsid w:val="446211AE"/>
    <w:rsid w:val="446914B4"/>
    <w:rsid w:val="489F5A19"/>
    <w:rsid w:val="4A754D79"/>
    <w:rsid w:val="4D5D69FE"/>
    <w:rsid w:val="4D6C50C2"/>
    <w:rsid w:val="4D9D5D36"/>
    <w:rsid w:val="4DF450AE"/>
    <w:rsid w:val="50033329"/>
    <w:rsid w:val="54E7292D"/>
    <w:rsid w:val="566B5CD0"/>
    <w:rsid w:val="57A26915"/>
    <w:rsid w:val="58EC6082"/>
    <w:rsid w:val="590E472E"/>
    <w:rsid w:val="59B461F7"/>
    <w:rsid w:val="5AAA1BE6"/>
    <w:rsid w:val="5E593514"/>
    <w:rsid w:val="5ED3015F"/>
    <w:rsid w:val="5F7F31BA"/>
    <w:rsid w:val="61D52240"/>
    <w:rsid w:val="64D44823"/>
    <w:rsid w:val="64DF5806"/>
    <w:rsid w:val="659868B7"/>
    <w:rsid w:val="67AF191C"/>
    <w:rsid w:val="69C32053"/>
    <w:rsid w:val="6CD267D2"/>
    <w:rsid w:val="6F0E3656"/>
    <w:rsid w:val="70627D41"/>
    <w:rsid w:val="706C7DF1"/>
    <w:rsid w:val="716350E6"/>
    <w:rsid w:val="71C34D6E"/>
    <w:rsid w:val="72D401A7"/>
    <w:rsid w:val="758B3A9E"/>
    <w:rsid w:val="7A765EEE"/>
    <w:rsid w:val="7B2854D3"/>
    <w:rsid w:val="7BC72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 w:type="paragraph" w:customStyle="1" w:styleId="10">
    <w:name w:val="p16"/>
    <w:basedOn w:val="1"/>
    <w:qFormat/>
    <w:uiPriority w:val="0"/>
    <w:pPr>
      <w:widowControl/>
      <w:jc w:val="left"/>
    </w:pPr>
    <w:rPr>
      <w:rFonts w:ascii="宋体" w:hAnsi="宋体" w:eastAsia="宋体" w:cs="宋体"/>
      <w:kern w:val="0"/>
      <w:sz w:val="24"/>
    </w:rPr>
  </w:style>
  <w:style w:type="paragraph" w:customStyle="1" w:styleId="11">
    <w:name w:val="p15"/>
    <w:basedOn w:val="1"/>
    <w:qFormat/>
    <w:uiPriority w:val="0"/>
    <w:pPr>
      <w:widowControl/>
      <w:ind w:firstLine="420"/>
    </w:pPr>
    <w:rPr>
      <w:rFonts w:ascii="Calibri" w:hAnsi="Calibri" w:eastAsia="宋体" w:cs="宋体"/>
      <w:kern w:val="0"/>
      <w:sz w:val="21"/>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511</Words>
  <Characters>2918</Characters>
  <Lines>24</Lines>
  <Paragraphs>6</Paragraphs>
  <TotalTime>143</TotalTime>
  <ScaleCrop>false</ScaleCrop>
  <LinksUpToDate>false</LinksUpToDate>
  <CharactersWithSpaces>3423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2021-12-08T03:16:37Z</dcterms:modified>
  <dc:title>××年××部门（单位）预算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21F2734298384230BA3F1A711861FA6C</vt:lpwstr>
  </property>
</Properties>
</file>