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新政镇</w:t>
      </w:r>
      <w:r>
        <w:rPr>
          <w:rFonts w:hint="eastAsia" w:ascii="黑体" w:hAnsi="黑体" w:eastAsia="黑体" w:cs="黑体"/>
          <w:kern w:val="0"/>
          <w:sz w:val="44"/>
          <w:szCs w:val="44"/>
          <w:highlight w:val="none"/>
          <w:lang w:val="en-US" w:eastAsia="zh-CN"/>
        </w:rPr>
        <w:t>2021年省级财政衔接推进乡村振兴补助资金使用分配表</w:t>
      </w:r>
    </w:p>
    <w:bookmarkEnd w:id="0"/>
    <w:tbl>
      <w:tblPr>
        <w:tblStyle w:val="4"/>
        <w:tblW w:w="15420" w:type="dxa"/>
        <w:tblInd w:w="-13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180"/>
        <w:gridCol w:w="2055"/>
        <w:gridCol w:w="2401"/>
        <w:gridCol w:w="899"/>
        <w:gridCol w:w="990"/>
        <w:gridCol w:w="1207"/>
        <w:gridCol w:w="1"/>
        <w:gridCol w:w="998"/>
        <w:gridCol w:w="1634"/>
        <w:gridCol w:w="13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计划投资（万元）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47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槟榔谷旅游产业扶贫项目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三道镇槟榔谷旅游景区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槟榔谷民俗剧场改造提升项目建设、水陆越野车二期改造和飞林探巢二期建设等3个项目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196.25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10个村委会村集体经济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47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历年来扶贫基础设施项目工程尾款（含2021年）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新政镇各村委会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支付2020年、2021年实施扶贫和乡村振兴基础设施建设项目工程尾款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完善基础设施建设，方便群众生产出行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C53FA"/>
    <w:rsid w:val="46810EBD"/>
    <w:rsid w:val="49585FF1"/>
    <w:rsid w:val="4C8B1361"/>
    <w:rsid w:val="774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Heading #4|1"/>
    <w:basedOn w:val="1"/>
    <w:qFormat/>
    <w:uiPriority w:val="0"/>
    <w:pPr>
      <w:widowControl w:val="0"/>
      <w:shd w:val="clear" w:color="auto" w:fill="auto"/>
      <w:spacing w:after="520" w:line="557" w:lineRule="exact"/>
      <w:jc w:val="center"/>
      <w:outlineLvl w:val="3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2021-07-29T01:34:00Z</dcterms:created>
  <dc:creator>lenovo</dc:creator>
  <cp:lastModifiedBy>8936</cp:lastModifiedBy>
  <cp:lastPrinted>2021-07-29T02:00:00Z</cp:lastPrinted>
  <dcterms:modified xsi:type="dcterms:W3CDTF">2022-01-10T04:08:21Z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